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B2CD75" w14:textId="4C6D9ED9" w:rsidR="00305D36" w:rsidRPr="009959CB" w:rsidRDefault="00305D36" w:rsidP="009959CB">
      <w:pPr>
        <w:tabs>
          <w:tab w:val="left" w:pos="8172"/>
        </w:tabs>
        <w:spacing w:after="0" w:line="240" w:lineRule="auto"/>
        <w:contextualSpacing/>
        <w:jc w:val="both"/>
        <w:rPr>
          <w:rFonts w:eastAsia="Times New Roman"/>
          <w:b/>
          <w:bCs/>
          <w:sz w:val="24"/>
          <w:szCs w:val="24"/>
          <w:bdr w:val="none" w:sz="0" w:space="0" w:color="auto"/>
          <w:lang w:eastAsia="en-GB"/>
        </w:rPr>
      </w:pPr>
    </w:p>
    <w:p w14:paraId="0B1CBB3F" w14:textId="77777777" w:rsidR="0030490A" w:rsidRPr="009959CB" w:rsidRDefault="0030490A" w:rsidP="009959CB">
      <w:pPr>
        <w:pStyle w:val="NormalWeb"/>
        <w:spacing w:before="0" w:beforeAutospacing="0" w:after="0" w:afterAutospacing="0"/>
        <w:contextualSpacing/>
        <w:jc w:val="both"/>
        <w:rPr>
          <w:rFonts w:ascii="Calibri" w:hAnsi="Calibri" w:cs="Calibri"/>
          <w:color w:val="000000"/>
        </w:rPr>
      </w:pPr>
    </w:p>
    <w:p w14:paraId="48071E70" w14:textId="77777777" w:rsidR="0030490A" w:rsidRPr="009959CB" w:rsidRDefault="0030490A" w:rsidP="009959CB">
      <w:pPr>
        <w:pStyle w:val="NormalWeb"/>
        <w:spacing w:before="0" w:beforeAutospacing="0" w:after="0" w:afterAutospacing="0"/>
        <w:contextualSpacing/>
        <w:jc w:val="both"/>
        <w:rPr>
          <w:rFonts w:ascii="Calibri" w:hAnsi="Calibri" w:cs="Calibri"/>
          <w:color w:val="000000"/>
        </w:rPr>
      </w:pPr>
      <w:r w:rsidRPr="009959CB">
        <w:rPr>
          <w:rFonts w:ascii="Calibri" w:hAnsi="Calibri" w:cs="Calibri"/>
          <w:color w:val="000000"/>
        </w:rPr>
        <w:t>Lugupeetud minister Karmen Joller</w:t>
      </w:r>
    </w:p>
    <w:p w14:paraId="26274C33" w14:textId="77777777" w:rsidR="0030490A" w:rsidRPr="009959CB" w:rsidRDefault="0030490A" w:rsidP="009959CB">
      <w:pPr>
        <w:pStyle w:val="NormalWeb"/>
        <w:spacing w:before="0" w:beforeAutospacing="0" w:after="0" w:afterAutospacing="0"/>
        <w:contextualSpacing/>
        <w:jc w:val="both"/>
        <w:rPr>
          <w:rFonts w:ascii="Calibri" w:hAnsi="Calibri" w:cs="Calibri"/>
          <w:color w:val="000000"/>
        </w:rPr>
      </w:pPr>
    </w:p>
    <w:p w14:paraId="1F2DEA94" w14:textId="51DCFEC9" w:rsidR="0030490A" w:rsidRPr="009959CB" w:rsidRDefault="0030490A" w:rsidP="009959CB">
      <w:pPr>
        <w:pStyle w:val="NormalWeb"/>
        <w:spacing w:before="0" w:beforeAutospacing="0" w:after="0" w:afterAutospacing="0"/>
        <w:contextualSpacing/>
        <w:jc w:val="both"/>
        <w:rPr>
          <w:rFonts w:ascii="Calibri" w:hAnsi="Calibri" w:cs="Calibri"/>
          <w:color w:val="000000"/>
        </w:rPr>
      </w:pPr>
      <w:r w:rsidRPr="009959CB">
        <w:rPr>
          <w:rFonts w:ascii="Calibri" w:hAnsi="Calibri" w:cs="Calibri"/>
          <w:color w:val="000000"/>
        </w:rPr>
        <w:t>Liivalaia 36</w:t>
      </w:r>
    </w:p>
    <w:p w14:paraId="3614F354" w14:textId="049D3CB0" w:rsidR="0030490A" w:rsidRPr="009959CB" w:rsidRDefault="0030490A" w:rsidP="009959CB">
      <w:pPr>
        <w:pStyle w:val="NormalWeb"/>
        <w:spacing w:before="0" w:beforeAutospacing="0" w:after="0" w:afterAutospacing="0"/>
        <w:contextualSpacing/>
        <w:jc w:val="both"/>
        <w:rPr>
          <w:rFonts w:ascii="Calibri" w:hAnsi="Calibri" w:cs="Calibri"/>
          <w:color w:val="000000"/>
        </w:rPr>
      </w:pPr>
      <w:r w:rsidRPr="009959CB">
        <w:rPr>
          <w:rFonts w:ascii="Calibri" w:hAnsi="Calibri" w:cs="Calibri"/>
          <w:color w:val="000000"/>
        </w:rPr>
        <w:t>10132 Tallinn</w:t>
      </w:r>
    </w:p>
    <w:p w14:paraId="422A5991" w14:textId="77777777" w:rsidR="0030490A" w:rsidRPr="009959CB" w:rsidRDefault="0030490A" w:rsidP="009959CB">
      <w:pPr>
        <w:pStyle w:val="NormalWeb"/>
        <w:spacing w:before="0" w:beforeAutospacing="0" w:after="0" w:afterAutospacing="0"/>
        <w:contextualSpacing/>
        <w:jc w:val="both"/>
        <w:rPr>
          <w:rFonts w:ascii="Calibri" w:hAnsi="Calibri" w:cs="Calibri"/>
          <w:color w:val="000000"/>
        </w:rPr>
      </w:pPr>
    </w:p>
    <w:p w14:paraId="4800B25F" w14:textId="77777777" w:rsidR="00305D36" w:rsidRPr="009959CB" w:rsidRDefault="00305D36" w:rsidP="009959CB">
      <w:pPr>
        <w:spacing w:after="0" w:line="240" w:lineRule="auto"/>
        <w:contextualSpacing/>
        <w:jc w:val="both"/>
        <w:rPr>
          <w:rStyle w:val="NoneA"/>
          <w:bCs/>
          <w:color w:val="auto"/>
          <w:sz w:val="24"/>
          <w:szCs w:val="24"/>
        </w:rPr>
      </w:pPr>
    </w:p>
    <w:p w14:paraId="53B50829" w14:textId="792F2C1A" w:rsidR="00305D36" w:rsidRPr="009959CB" w:rsidRDefault="0030490A" w:rsidP="009959CB">
      <w:pPr>
        <w:spacing w:after="0" w:line="240" w:lineRule="auto"/>
        <w:contextualSpacing/>
        <w:jc w:val="both"/>
        <w:rPr>
          <w:rStyle w:val="NoneA"/>
          <w:b/>
          <w:color w:val="auto"/>
          <w:sz w:val="24"/>
          <w:szCs w:val="24"/>
        </w:rPr>
      </w:pPr>
      <w:r w:rsidRPr="009959CB">
        <w:rPr>
          <w:rStyle w:val="NoneA"/>
          <w:b/>
          <w:color w:val="auto"/>
          <w:sz w:val="24"/>
          <w:szCs w:val="24"/>
        </w:rPr>
        <w:t xml:space="preserve">Ravimitootjate Liidu </w:t>
      </w:r>
      <w:r w:rsidR="00092143" w:rsidRPr="009959CB">
        <w:rPr>
          <w:rStyle w:val="NoneA"/>
          <w:b/>
          <w:color w:val="auto"/>
          <w:sz w:val="24"/>
          <w:szCs w:val="24"/>
        </w:rPr>
        <w:t>arvamus sotsiaalministri 18. veebruari 2005. a määrus</w:t>
      </w:r>
      <w:r w:rsidR="009A4879" w:rsidRPr="009959CB">
        <w:rPr>
          <w:rStyle w:val="NoneA"/>
          <w:b/>
          <w:color w:val="auto"/>
          <w:sz w:val="24"/>
          <w:szCs w:val="24"/>
        </w:rPr>
        <w:t>e</w:t>
      </w:r>
      <w:r w:rsidR="00092143" w:rsidRPr="009959CB">
        <w:rPr>
          <w:rStyle w:val="NoneA"/>
          <w:b/>
          <w:color w:val="auto"/>
          <w:sz w:val="24"/>
          <w:szCs w:val="24"/>
        </w:rPr>
        <w:t xml:space="preserve"> nr 30 „Ravimite väljakirjutamine ja apteekidest väljastamine“, tervise- ja tööministri 20. mai 2016. a </w:t>
      </w:r>
      <w:r w:rsidR="00723358">
        <w:rPr>
          <w:rStyle w:val="NoneA"/>
          <w:b/>
          <w:color w:val="auto"/>
          <w:sz w:val="24"/>
          <w:szCs w:val="24"/>
        </w:rPr>
        <w:t xml:space="preserve"> </w:t>
      </w:r>
      <w:r w:rsidR="00092143" w:rsidRPr="009959CB">
        <w:rPr>
          <w:rStyle w:val="NoneA"/>
          <w:b/>
          <w:color w:val="auto"/>
          <w:sz w:val="24"/>
          <w:szCs w:val="24"/>
        </w:rPr>
        <w:t>määrus</w:t>
      </w:r>
      <w:r w:rsidR="009A4879" w:rsidRPr="009959CB">
        <w:rPr>
          <w:rStyle w:val="NoneA"/>
          <w:b/>
          <w:color w:val="auto"/>
          <w:sz w:val="24"/>
          <w:szCs w:val="24"/>
        </w:rPr>
        <w:t>e</w:t>
      </w:r>
      <w:r w:rsidR="00092143" w:rsidRPr="009959CB">
        <w:rPr>
          <w:rStyle w:val="NoneA"/>
          <w:b/>
          <w:color w:val="auto"/>
          <w:sz w:val="24"/>
          <w:szCs w:val="24"/>
        </w:rPr>
        <w:t xml:space="preserve"> nr 36 „Ravimiregistri põhimäärus“ ning tervise- ja tööministri 20. mai 2016. a määrus</w:t>
      </w:r>
      <w:r w:rsidR="009A4879" w:rsidRPr="009959CB">
        <w:rPr>
          <w:rStyle w:val="NoneA"/>
          <w:b/>
          <w:color w:val="auto"/>
          <w:sz w:val="24"/>
          <w:szCs w:val="24"/>
        </w:rPr>
        <w:t>e</w:t>
      </w:r>
      <w:r w:rsidR="00092143" w:rsidRPr="009959CB">
        <w:rPr>
          <w:rStyle w:val="NoneA"/>
          <w:b/>
          <w:color w:val="auto"/>
          <w:sz w:val="24"/>
          <w:szCs w:val="24"/>
        </w:rPr>
        <w:t xml:space="preserve"> nr 38 „Ravimiregistris olevate ravimite ja toodete kodeerimise ning pakendikoodi kasutamise kord“ muutmise kohta</w:t>
      </w:r>
    </w:p>
    <w:p w14:paraId="3C37B1D3" w14:textId="77777777" w:rsidR="0030490A" w:rsidRPr="009959CB" w:rsidRDefault="0030490A" w:rsidP="009959CB">
      <w:pPr>
        <w:spacing w:after="0" w:line="240" w:lineRule="auto"/>
        <w:contextualSpacing/>
        <w:jc w:val="both"/>
        <w:rPr>
          <w:rStyle w:val="NoneA"/>
          <w:bCs/>
          <w:color w:val="auto"/>
          <w:sz w:val="24"/>
          <w:szCs w:val="24"/>
        </w:rPr>
      </w:pPr>
    </w:p>
    <w:p w14:paraId="0664BCA2" w14:textId="2DF1C22A" w:rsidR="0030490A" w:rsidRPr="009959CB" w:rsidRDefault="0030490A" w:rsidP="009959CB">
      <w:pPr>
        <w:spacing w:after="0" w:line="240" w:lineRule="auto"/>
        <w:contextualSpacing/>
        <w:jc w:val="both"/>
        <w:rPr>
          <w:rStyle w:val="NoneA"/>
          <w:bCs/>
          <w:color w:val="auto"/>
          <w:sz w:val="24"/>
          <w:szCs w:val="24"/>
        </w:rPr>
      </w:pPr>
      <w:r w:rsidRPr="009959CB">
        <w:rPr>
          <w:rStyle w:val="NoneA"/>
          <w:bCs/>
          <w:color w:val="auto"/>
          <w:sz w:val="24"/>
          <w:szCs w:val="24"/>
        </w:rPr>
        <w:tab/>
      </w:r>
      <w:r w:rsidRPr="009959CB">
        <w:rPr>
          <w:rStyle w:val="NoneA"/>
          <w:bCs/>
          <w:color w:val="auto"/>
          <w:sz w:val="24"/>
          <w:szCs w:val="24"/>
        </w:rPr>
        <w:tab/>
      </w:r>
      <w:r w:rsidRPr="009959CB">
        <w:rPr>
          <w:rStyle w:val="NoneA"/>
          <w:bCs/>
          <w:color w:val="auto"/>
          <w:sz w:val="24"/>
          <w:szCs w:val="24"/>
        </w:rPr>
        <w:tab/>
      </w:r>
      <w:r w:rsidRPr="009959CB">
        <w:rPr>
          <w:rStyle w:val="NoneA"/>
          <w:bCs/>
          <w:color w:val="auto"/>
          <w:sz w:val="24"/>
          <w:szCs w:val="24"/>
        </w:rPr>
        <w:tab/>
      </w:r>
      <w:r w:rsidRPr="009959CB">
        <w:rPr>
          <w:rStyle w:val="NoneA"/>
          <w:bCs/>
          <w:color w:val="auto"/>
          <w:sz w:val="24"/>
          <w:szCs w:val="24"/>
        </w:rPr>
        <w:tab/>
      </w:r>
      <w:r w:rsidRPr="009959CB">
        <w:rPr>
          <w:rStyle w:val="NoneA"/>
          <w:bCs/>
          <w:color w:val="auto"/>
          <w:sz w:val="24"/>
          <w:szCs w:val="24"/>
        </w:rPr>
        <w:tab/>
      </w:r>
      <w:r w:rsidRPr="009959CB">
        <w:rPr>
          <w:rStyle w:val="NoneA"/>
          <w:bCs/>
          <w:color w:val="auto"/>
          <w:sz w:val="24"/>
          <w:szCs w:val="24"/>
        </w:rPr>
        <w:tab/>
      </w:r>
      <w:r w:rsidRPr="009959CB">
        <w:rPr>
          <w:rStyle w:val="NoneA"/>
          <w:bCs/>
          <w:color w:val="auto"/>
          <w:sz w:val="24"/>
          <w:szCs w:val="24"/>
        </w:rPr>
        <w:tab/>
      </w:r>
      <w:r w:rsidRPr="009959CB">
        <w:rPr>
          <w:rStyle w:val="NoneA"/>
          <w:bCs/>
          <w:color w:val="auto"/>
          <w:sz w:val="24"/>
          <w:szCs w:val="24"/>
        </w:rPr>
        <w:tab/>
      </w:r>
      <w:r w:rsidRPr="009959CB">
        <w:rPr>
          <w:rStyle w:val="NoneA"/>
          <w:bCs/>
          <w:color w:val="auto"/>
          <w:sz w:val="24"/>
          <w:szCs w:val="24"/>
        </w:rPr>
        <w:tab/>
      </w:r>
      <w:r w:rsidRPr="009959CB">
        <w:rPr>
          <w:rStyle w:val="NoneA"/>
          <w:bCs/>
          <w:color w:val="auto"/>
          <w:sz w:val="24"/>
          <w:szCs w:val="24"/>
        </w:rPr>
        <w:tab/>
      </w:r>
      <w:r w:rsidR="008C6F87" w:rsidRPr="009959CB">
        <w:rPr>
          <w:rStyle w:val="NoneA"/>
          <w:bCs/>
          <w:color w:val="auto"/>
          <w:sz w:val="24"/>
          <w:szCs w:val="24"/>
        </w:rPr>
        <w:t>23</w:t>
      </w:r>
      <w:r w:rsidRPr="009959CB">
        <w:rPr>
          <w:rStyle w:val="NoneA"/>
          <w:bCs/>
          <w:color w:val="auto"/>
          <w:sz w:val="24"/>
          <w:szCs w:val="24"/>
        </w:rPr>
        <w:t>.10.2026</w:t>
      </w:r>
    </w:p>
    <w:p w14:paraId="6E01C129" w14:textId="77777777" w:rsidR="0030490A" w:rsidRPr="009959CB" w:rsidRDefault="0030490A" w:rsidP="009959CB">
      <w:pPr>
        <w:pStyle w:val="NormalWeb"/>
        <w:spacing w:before="0" w:beforeAutospacing="0" w:after="0" w:afterAutospacing="0"/>
        <w:contextualSpacing/>
        <w:jc w:val="both"/>
        <w:rPr>
          <w:rFonts w:ascii="Calibri" w:hAnsi="Calibri" w:cs="Calibri"/>
          <w:color w:val="000000"/>
        </w:rPr>
      </w:pPr>
    </w:p>
    <w:p w14:paraId="21E26CB1" w14:textId="77777777" w:rsidR="009959CB" w:rsidRPr="009959CB" w:rsidRDefault="009959CB" w:rsidP="009959CB">
      <w:pPr>
        <w:pStyle w:val="NormalWeb"/>
        <w:spacing w:after="0"/>
        <w:contextualSpacing/>
        <w:jc w:val="both"/>
        <w:rPr>
          <w:rFonts w:ascii="Calibri" w:hAnsi="Calibri" w:cs="Calibri"/>
          <w:color w:val="000000"/>
        </w:rPr>
      </w:pPr>
      <w:r w:rsidRPr="009959CB">
        <w:rPr>
          <w:rFonts w:ascii="Calibri" w:hAnsi="Calibri" w:cs="Calibri"/>
          <w:color w:val="000000"/>
        </w:rPr>
        <w:t>Täname võimaluse eest avaldada arvamust ministri määruste muutmise määruse eelnõu kohta.</w:t>
      </w:r>
    </w:p>
    <w:p w14:paraId="0670824B" w14:textId="1F5AF3D7" w:rsidR="009959CB" w:rsidRPr="009959CB" w:rsidRDefault="009959CB" w:rsidP="009959CB">
      <w:pPr>
        <w:pStyle w:val="NormalWeb"/>
        <w:spacing w:after="0"/>
        <w:contextualSpacing/>
        <w:jc w:val="both"/>
        <w:rPr>
          <w:rFonts w:ascii="Calibri" w:hAnsi="Calibri" w:cs="Calibri"/>
          <w:color w:val="000000"/>
        </w:rPr>
      </w:pPr>
    </w:p>
    <w:p w14:paraId="25432F5F" w14:textId="77777777" w:rsidR="009959CB" w:rsidRPr="009959CB" w:rsidRDefault="009959CB" w:rsidP="009959CB">
      <w:pPr>
        <w:pStyle w:val="NormalWeb"/>
        <w:spacing w:after="0"/>
        <w:contextualSpacing/>
        <w:jc w:val="both"/>
        <w:rPr>
          <w:rFonts w:ascii="Calibri" w:hAnsi="Calibri" w:cs="Calibri"/>
          <w:color w:val="000000"/>
        </w:rPr>
      </w:pPr>
      <w:r w:rsidRPr="009959CB">
        <w:rPr>
          <w:rFonts w:ascii="Calibri" w:hAnsi="Calibri" w:cs="Calibri"/>
          <w:color w:val="000000"/>
        </w:rPr>
        <w:t>RTL toetab põhimõtteliselt eelnõuga kavandatud muudatusi. Eelkõige tervitame ravimiregistris ravimpreparaadi pakendi esitlusviisi arvestamist pakendikoodi omistamisel (eelnõu §-d 2 ja 3).</w:t>
      </w:r>
    </w:p>
    <w:p w14:paraId="1D7D04DD" w14:textId="7F49484F" w:rsidR="009959CB" w:rsidRPr="009959CB" w:rsidRDefault="009959CB" w:rsidP="009959CB">
      <w:pPr>
        <w:pStyle w:val="NormalWeb"/>
        <w:spacing w:after="0"/>
        <w:contextualSpacing/>
        <w:jc w:val="both"/>
        <w:rPr>
          <w:rFonts w:ascii="Calibri" w:hAnsi="Calibri" w:cs="Calibri"/>
          <w:color w:val="000000"/>
        </w:rPr>
      </w:pPr>
    </w:p>
    <w:p w14:paraId="60305259" w14:textId="77777777" w:rsidR="009959CB" w:rsidRPr="009959CB" w:rsidRDefault="009959CB" w:rsidP="009959CB">
      <w:pPr>
        <w:pStyle w:val="NormalWeb"/>
        <w:spacing w:after="0"/>
        <w:contextualSpacing/>
        <w:jc w:val="both"/>
        <w:rPr>
          <w:rFonts w:ascii="Calibri" w:hAnsi="Calibri" w:cs="Calibri"/>
          <w:color w:val="000000"/>
        </w:rPr>
      </w:pPr>
      <w:r w:rsidRPr="009959CB">
        <w:rPr>
          <w:rFonts w:ascii="Calibri" w:hAnsi="Calibri" w:cs="Calibri"/>
          <w:color w:val="000000"/>
        </w:rPr>
        <w:t>RTL on ka varasemalt juhtinud Ravimiameti tähelepanu vajadusele eristada Eesti ravimiregistris sama pakendisuurusega, kuid erineva esitlusviisiga pakendeid. Olemasolev pakendite eristamise detailsus ei võimalda seda kõigil juhtudel üheselt teha, mis on tekitanud praktilisi küsimusi muu hulgas riikliku müügiloaga ravimite struktureeritud pakendiandmete esitamisel xEVMPD-s.</w:t>
      </w:r>
    </w:p>
    <w:p w14:paraId="38D405C9" w14:textId="3967EA4C" w:rsidR="009959CB" w:rsidRPr="009959CB" w:rsidRDefault="009959CB" w:rsidP="009959CB">
      <w:pPr>
        <w:pStyle w:val="NormalWeb"/>
        <w:spacing w:after="0"/>
        <w:contextualSpacing/>
        <w:jc w:val="both"/>
        <w:rPr>
          <w:rFonts w:ascii="Calibri" w:hAnsi="Calibri" w:cs="Calibri"/>
          <w:color w:val="000000"/>
        </w:rPr>
      </w:pPr>
    </w:p>
    <w:p w14:paraId="38EEC79D" w14:textId="77777777" w:rsidR="009959CB" w:rsidRPr="009959CB" w:rsidRDefault="009959CB" w:rsidP="009959CB">
      <w:pPr>
        <w:pStyle w:val="NormalWeb"/>
        <w:spacing w:after="0"/>
        <w:contextualSpacing/>
        <w:jc w:val="both"/>
        <w:rPr>
          <w:rFonts w:ascii="Calibri" w:hAnsi="Calibri" w:cs="Calibri"/>
          <w:color w:val="000000"/>
        </w:rPr>
      </w:pPr>
      <w:r w:rsidRPr="009959CB">
        <w:rPr>
          <w:rFonts w:ascii="Calibri" w:hAnsi="Calibri" w:cs="Calibri"/>
          <w:color w:val="000000"/>
        </w:rPr>
        <w:t>RTL kiidab heaks mõiste „esitlusviis“ kasutuselevõtu, et fikseerida eestikeelses ravimiregistri ja ravimite kodeerimise terminoloogias EL-i ravimite andmestandardites kasutatava mõiste „presentation“ eestikeelne vaste. Peame oluliseks, et edaspidi kasutataks seda terminit asjaomastes õigusaktides ja rakenduspraktikas järjepidevalt ning ühetaoliselt.</w:t>
      </w:r>
    </w:p>
    <w:p w14:paraId="3B6C9279" w14:textId="62943927" w:rsidR="009959CB" w:rsidRPr="009959CB" w:rsidRDefault="009959CB" w:rsidP="009959CB">
      <w:pPr>
        <w:pStyle w:val="NormalWeb"/>
        <w:spacing w:after="0"/>
        <w:contextualSpacing/>
        <w:jc w:val="both"/>
        <w:rPr>
          <w:rFonts w:ascii="Calibri" w:hAnsi="Calibri" w:cs="Calibri"/>
          <w:color w:val="000000"/>
        </w:rPr>
      </w:pPr>
    </w:p>
    <w:p w14:paraId="4F3C0DE3" w14:textId="77777777" w:rsidR="009959CB" w:rsidRPr="009959CB" w:rsidRDefault="009959CB" w:rsidP="009959CB">
      <w:pPr>
        <w:pStyle w:val="NormalWeb"/>
        <w:spacing w:after="0"/>
        <w:contextualSpacing/>
        <w:jc w:val="both"/>
        <w:rPr>
          <w:rFonts w:ascii="Calibri" w:hAnsi="Calibri" w:cs="Calibri"/>
          <w:color w:val="000000"/>
        </w:rPr>
      </w:pPr>
      <w:r w:rsidRPr="009959CB">
        <w:rPr>
          <w:rFonts w:ascii="Calibri" w:hAnsi="Calibri" w:cs="Calibri"/>
          <w:color w:val="000000"/>
        </w:rPr>
        <w:t>Eelnõuga kavandatud muudatus, mille kohaselt omistatakse pakendikood igale ravimpreparaadi pakendisuurusele ja pakendi esitlusviisile, aitab seega muuta ravimiregistri pakendiandmed täpsemaks ja erinevad pakendi esitlusviisid üheselt eristatavaks. Eelnõu määratleb esitlusviisi näidetena sisepakendi liigi ja materjali.</w:t>
      </w:r>
    </w:p>
    <w:p w14:paraId="4DEDA6D0" w14:textId="6B617B4F" w:rsidR="009959CB" w:rsidRPr="009959CB" w:rsidRDefault="009959CB" w:rsidP="009959CB">
      <w:pPr>
        <w:pStyle w:val="NormalWeb"/>
        <w:spacing w:after="0"/>
        <w:contextualSpacing/>
        <w:jc w:val="both"/>
        <w:rPr>
          <w:rFonts w:ascii="Calibri" w:hAnsi="Calibri" w:cs="Calibri"/>
          <w:color w:val="000000"/>
        </w:rPr>
      </w:pPr>
    </w:p>
    <w:p w14:paraId="3125623D" w14:textId="77777777" w:rsidR="009959CB" w:rsidRPr="009959CB" w:rsidRDefault="009959CB" w:rsidP="009959CB">
      <w:pPr>
        <w:pStyle w:val="NormalWeb"/>
        <w:spacing w:after="0"/>
        <w:contextualSpacing/>
        <w:jc w:val="both"/>
        <w:rPr>
          <w:rFonts w:ascii="Calibri" w:hAnsi="Calibri" w:cs="Calibri"/>
          <w:color w:val="000000"/>
        </w:rPr>
      </w:pPr>
      <w:r w:rsidRPr="009959CB">
        <w:rPr>
          <w:rFonts w:ascii="Calibri" w:hAnsi="Calibri" w:cs="Calibri"/>
          <w:color w:val="000000"/>
        </w:rPr>
        <w:t>Samas palume eelnõu edasisel menetlemisel arvestada järgmiste tähelepanekutega.</w:t>
      </w:r>
    </w:p>
    <w:p w14:paraId="02368E7D" w14:textId="15C4865B" w:rsidR="009959CB" w:rsidRPr="009959CB" w:rsidRDefault="009959CB" w:rsidP="009959CB">
      <w:pPr>
        <w:pStyle w:val="NormalWeb"/>
        <w:spacing w:after="0"/>
        <w:contextualSpacing/>
        <w:jc w:val="both"/>
        <w:rPr>
          <w:rFonts w:ascii="Calibri" w:hAnsi="Calibri" w:cs="Calibri"/>
          <w:color w:val="000000"/>
        </w:rPr>
      </w:pPr>
    </w:p>
    <w:p w14:paraId="0204FA1A" w14:textId="4B71ED5D" w:rsidR="009959CB" w:rsidRPr="009959CB" w:rsidRDefault="009959CB" w:rsidP="009959CB">
      <w:pPr>
        <w:pStyle w:val="NormalWeb"/>
        <w:numPr>
          <w:ilvl w:val="0"/>
          <w:numId w:val="37"/>
        </w:numPr>
        <w:spacing w:after="0"/>
        <w:contextualSpacing/>
        <w:jc w:val="both"/>
        <w:rPr>
          <w:rFonts w:ascii="Calibri" w:hAnsi="Calibri" w:cs="Calibri"/>
          <w:b/>
          <w:bCs/>
          <w:color w:val="000000"/>
        </w:rPr>
      </w:pPr>
      <w:r w:rsidRPr="009959CB">
        <w:rPr>
          <w:rFonts w:ascii="Calibri" w:hAnsi="Calibri" w:cs="Calibri"/>
          <w:b/>
          <w:bCs/>
          <w:color w:val="000000"/>
        </w:rPr>
        <w:t>Määruse nr 38 § 4 lõike 2 sõnastus</w:t>
      </w:r>
    </w:p>
    <w:p w14:paraId="13FB5CC4" w14:textId="2F62FFE4" w:rsidR="009959CB" w:rsidRPr="009959CB" w:rsidRDefault="009959CB" w:rsidP="009959CB">
      <w:pPr>
        <w:pStyle w:val="NormalWeb"/>
        <w:spacing w:after="0"/>
        <w:contextualSpacing/>
        <w:jc w:val="both"/>
        <w:rPr>
          <w:rFonts w:ascii="Calibri" w:hAnsi="Calibri" w:cs="Calibri"/>
          <w:color w:val="000000"/>
        </w:rPr>
      </w:pPr>
    </w:p>
    <w:p w14:paraId="2D2280D9" w14:textId="77777777" w:rsidR="009959CB" w:rsidRPr="009959CB" w:rsidRDefault="009959CB" w:rsidP="009959CB">
      <w:pPr>
        <w:pStyle w:val="NormalWeb"/>
        <w:spacing w:after="0"/>
        <w:contextualSpacing/>
        <w:jc w:val="both"/>
        <w:rPr>
          <w:rFonts w:ascii="Calibri" w:hAnsi="Calibri" w:cs="Calibri"/>
          <w:color w:val="000000"/>
        </w:rPr>
      </w:pPr>
      <w:r w:rsidRPr="009959CB">
        <w:rPr>
          <w:rFonts w:ascii="Calibri" w:hAnsi="Calibri" w:cs="Calibri"/>
          <w:color w:val="000000"/>
        </w:rPr>
        <w:t>Eelnõus on § 4 lõige 2 sõnastatud järgmiselt:</w:t>
      </w:r>
    </w:p>
    <w:p w14:paraId="1FB5D926" w14:textId="77777777" w:rsidR="009959CB" w:rsidRPr="009959CB" w:rsidRDefault="009959CB" w:rsidP="009959CB">
      <w:pPr>
        <w:pStyle w:val="NormalWeb"/>
        <w:spacing w:after="0"/>
        <w:contextualSpacing/>
        <w:jc w:val="both"/>
        <w:rPr>
          <w:rFonts w:ascii="Calibri" w:hAnsi="Calibri" w:cs="Calibri"/>
          <w:color w:val="000000"/>
        </w:rPr>
      </w:pPr>
      <w:r w:rsidRPr="009959CB">
        <w:rPr>
          <w:rFonts w:ascii="Calibri" w:hAnsi="Calibri" w:cs="Calibri"/>
          <w:color w:val="000000"/>
        </w:rPr>
        <w:t xml:space="preserve"> </w:t>
      </w:r>
    </w:p>
    <w:p w14:paraId="1E583FB7" w14:textId="77777777" w:rsidR="009959CB" w:rsidRPr="009959CB" w:rsidRDefault="009959CB" w:rsidP="009959CB">
      <w:pPr>
        <w:pStyle w:val="NormalWeb"/>
        <w:spacing w:after="0"/>
        <w:contextualSpacing/>
        <w:jc w:val="both"/>
        <w:rPr>
          <w:rFonts w:ascii="Calibri" w:hAnsi="Calibri" w:cs="Calibri"/>
          <w:color w:val="000000"/>
        </w:rPr>
      </w:pPr>
      <w:r w:rsidRPr="009959CB">
        <w:rPr>
          <w:rFonts w:ascii="Calibri" w:hAnsi="Calibri" w:cs="Calibri"/>
          <w:color w:val="000000"/>
        </w:rPr>
        <w:lastRenderedPageBreak/>
        <w:t>„Müügiloaga ravimile uue pakendisuuruse ja pakendi esitlusviisi lisandumise korral omistatakse sellele pakendikood [...]“.</w:t>
      </w:r>
    </w:p>
    <w:p w14:paraId="3A911474" w14:textId="03FF9577" w:rsidR="009959CB" w:rsidRPr="009959CB" w:rsidRDefault="009959CB" w:rsidP="009959CB">
      <w:pPr>
        <w:pStyle w:val="NormalWeb"/>
        <w:spacing w:after="0"/>
        <w:contextualSpacing/>
        <w:jc w:val="both"/>
        <w:rPr>
          <w:rFonts w:ascii="Calibri" w:hAnsi="Calibri" w:cs="Calibri"/>
          <w:color w:val="000000"/>
        </w:rPr>
      </w:pPr>
    </w:p>
    <w:p w14:paraId="6ACA747A" w14:textId="77777777" w:rsidR="009959CB" w:rsidRPr="009959CB" w:rsidRDefault="009959CB" w:rsidP="009959CB">
      <w:pPr>
        <w:pStyle w:val="NormalWeb"/>
        <w:spacing w:after="0"/>
        <w:contextualSpacing/>
        <w:jc w:val="both"/>
        <w:rPr>
          <w:rFonts w:ascii="Calibri" w:hAnsi="Calibri" w:cs="Calibri"/>
          <w:color w:val="000000"/>
        </w:rPr>
      </w:pPr>
      <w:r w:rsidRPr="009959CB">
        <w:rPr>
          <w:rFonts w:ascii="Calibri" w:hAnsi="Calibri" w:cs="Calibri"/>
          <w:color w:val="000000"/>
        </w:rPr>
        <w:t>RTL-i hinnangul tuleks siin kasutada sõnastust „uue pakendisuuruse või pakendi esitlusviisi lisandumise korral“, kuna uue pakendikoodi omistamise vajadus võib tekkida nii uue pakendisuuruse lisandumisel kui ka juhul, kui lisandub uus pakendi esitlusviis olemasoleva pakendisuuruse juures.</w:t>
      </w:r>
    </w:p>
    <w:p w14:paraId="73E355BE" w14:textId="7F159C37" w:rsidR="009959CB" w:rsidRPr="009959CB" w:rsidRDefault="009959CB" w:rsidP="009959CB">
      <w:pPr>
        <w:pStyle w:val="NormalWeb"/>
        <w:spacing w:after="0"/>
        <w:contextualSpacing/>
        <w:jc w:val="both"/>
        <w:rPr>
          <w:rFonts w:ascii="Calibri" w:hAnsi="Calibri" w:cs="Calibri"/>
          <w:color w:val="000000"/>
        </w:rPr>
      </w:pPr>
    </w:p>
    <w:p w14:paraId="735D49BD" w14:textId="77777777" w:rsidR="009959CB" w:rsidRPr="009959CB" w:rsidRDefault="009959CB" w:rsidP="009959CB">
      <w:pPr>
        <w:pStyle w:val="NormalWeb"/>
        <w:spacing w:after="0"/>
        <w:contextualSpacing/>
        <w:jc w:val="both"/>
        <w:rPr>
          <w:rFonts w:ascii="Calibri" w:hAnsi="Calibri" w:cs="Calibri"/>
          <w:color w:val="000000"/>
        </w:rPr>
      </w:pPr>
      <w:r w:rsidRPr="009959CB">
        <w:rPr>
          <w:rFonts w:ascii="Calibri" w:hAnsi="Calibri" w:cs="Calibri"/>
          <w:color w:val="000000"/>
        </w:rPr>
        <w:t>Seda tõlgendust toetab ka eelnõu § 4 lõige 3, milles kasutatakse sõnastust „uue pakendisuuruse või pakendi esitlusviisi lisamise muudatuse kinnitamisel“. Seega ei ole lõigete 2 ja 3 sõnastus selles osas täielikult kooskõlaline.</w:t>
      </w:r>
    </w:p>
    <w:p w14:paraId="5CE2D144" w14:textId="7B16EDB3" w:rsidR="009959CB" w:rsidRPr="009959CB" w:rsidRDefault="009959CB" w:rsidP="009959CB">
      <w:pPr>
        <w:pStyle w:val="NormalWeb"/>
        <w:spacing w:after="0"/>
        <w:contextualSpacing/>
        <w:jc w:val="both"/>
        <w:rPr>
          <w:rFonts w:ascii="Calibri" w:hAnsi="Calibri" w:cs="Calibri"/>
          <w:color w:val="000000"/>
        </w:rPr>
      </w:pPr>
    </w:p>
    <w:p w14:paraId="0483166B" w14:textId="77777777" w:rsidR="009959CB" w:rsidRPr="009959CB" w:rsidRDefault="009959CB" w:rsidP="009959CB">
      <w:pPr>
        <w:pStyle w:val="NormalWeb"/>
        <w:spacing w:after="0"/>
        <w:contextualSpacing/>
        <w:jc w:val="both"/>
        <w:rPr>
          <w:rFonts w:ascii="Calibri" w:hAnsi="Calibri" w:cs="Calibri"/>
          <w:color w:val="000000"/>
        </w:rPr>
      </w:pPr>
      <w:r w:rsidRPr="009959CB">
        <w:rPr>
          <w:rFonts w:ascii="Calibri" w:hAnsi="Calibri" w:cs="Calibri"/>
          <w:color w:val="000000"/>
        </w:rPr>
        <w:t>RTL-i ettepanek: sõnastada määruse nr 38 § 4 lõige 2 järgmiselt:</w:t>
      </w:r>
    </w:p>
    <w:p w14:paraId="33FFABE3" w14:textId="39A9F8AB" w:rsidR="009959CB" w:rsidRPr="009959CB" w:rsidRDefault="009959CB" w:rsidP="009959CB">
      <w:pPr>
        <w:pStyle w:val="NormalWeb"/>
        <w:spacing w:after="0"/>
        <w:contextualSpacing/>
        <w:jc w:val="both"/>
        <w:rPr>
          <w:rFonts w:ascii="Calibri" w:hAnsi="Calibri" w:cs="Calibri"/>
          <w:color w:val="000000"/>
        </w:rPr>
      </w:pPr>
    </w:p>
    <w:p w14:paraId="7271F2F6" w14:textId="77777777" w:rsidR="009959CB" w:rsidRPr="009959CB" w:rsidRDefault="009959CB" w:rsidP="009959CB">
      <w:pPr>
        <w:pStyle w:val="NormalWeb"/>
        <w:spacing w:after="0"/>
        <w:contextualSpacing/>
        <w:jc w:val="both"/>
        <w:rPr>
          <w:rFonts w:ascii="Calibri" w:hAnsi="Calibri" w:cs="Calibri"/>
          <w:color w:val="000000"/>
        </w:rPr>
      </w:pPr>
      <w:r w:rsidRPr="009959CB">
        <w:rPr>
          <w:rFonts w:ascii="Calibri" w:hAnsi="Calibri" w:cs="Calibri"/>
          <w:color w:val="000000"/>
        </w:rPr>
        <w:t>„(2) Müügiloaga ravimile uue pakendisuuruse või pakendi esitlusviisi lisandumise korral omistatakse sellele pakendikood pärast ravimi müügiloa andmise aluseks olevate tingimuste muudatuste kinnitamist.“</w:t>
      </w:r>
    </w:p>
    <w:p w14:paraId="1882BCDC" w14:textId="48B58FB6" w:rsidR="009959CB" w:rsidRPr="009959CB" w:rsidRDefault="009959CB" w:rsidP="009959CB">
      <w:pPr>
        <w:pStyle w:val="NormalWeb"/>
        <w:spacing w:after="0"/>
        <w:contextualSpacing/>
        <w:jc w:val="both"/>
        <w:rPr>
          <w:rFonts w:ascii="Calibri" w:hAnsi="Calibri" w:cs="Calibri"/>
          <w:color w:val="000000"/>
        </w:rPr>
      </w:pPr>
    </w:p>
    <w:p w14:paraId="6A93F034" w14:textId="39F3AA14" w:rsidR="009959CB" w:rsidRPr="009959CB" w:rsidRDefault="009959CB" w:rsidP="009959CB">
      <w:pPr>
        <w:pStyle w:val="NormalWeb"/>
        <w:numPr>
          <w:ilvl w:val="0"/>
          <w:numId w:val="37"/>
        </w:numPr>
        <w:spacing w:after="0"/>
        <w:contextualSpacing/>
        <w:jc w:val="both"/>
        <w:rPr>
          <w:rFonts w:ascii="Calibri" w:hAnsi="Calibri" w:cs="Calibri"/>
          <w:b/>
          <w:bCs/>
          <w:color w:val="000000"/>
        </w:rPr>
      </w:pPr>
      <w:r w:rsidRPr="009959CB">
        <w:rPr>
          <w:rFonts w:ascii="Calibri" w:hAnsi="Calibri" w:cs="Calibri"/>
          <w:b/>
          <w:bCs/>
          <w:color w:val="000000"/>
        </w:rPr>
        <w:t>Olemasolevate pakendikoodide käsitlemine</w:t>
      </w:r>
    </w:p>
    <w:p w14:paraId="4872E224" w14:textId="78571FEA" w:rsidR="009959CB" w:rsidRPr="009959CB" w:rsidRDefault="009959CB" w:rsidP="009959CB">
      <w:pPr>
        <w:pStyle w:val="NormalWeb"/>
        <w:spacing w:after="0"/>
        <w:contextualSpacing/>
        <w:jc w:val="both"/>
        <w:rPr>
          <w:rFonts w:ascii="Calibri" w:hAnsi="Calibri" w:cs="Calibri"/>
          <w:color w:val="000000"/>
        </w:rPr>
      </w:pPr>
    </w:p>
    <w:p w14:paraId="7A5A6474" w14:textId="77777777" w:rsidR="009959CB" w:rsidRPr="009959CB" w:rsidRDefault="009959CB" w:rsidP="009959CB">
      <w:pPr>
        <w:pStyle w:val="NormalWeb"/>
        <w:spacing w:after="0"/>
        <w:contextualSpacing/>
        <w:jc w:val="both"/>
        <w:rPr>
          <w:rFonts w:ascii="Calibri" w:hAnsi="Calibri" w:cs="Calibri"/>
          <w:color w:val="000000"/>
        </w:rPr>
      </w:pPr>
      <w:r w:rsidRPr="009959CB">
        <w:rPr>
          <w:rFonts w:ascii="Calibri" w:hAnsi="Calibri" w:cs="Calibri"/>
          <w:color w:val="000000"/>
        </w:rPr>
        <w:t>RTL peab oluliseks, et juba turul olevate ravimite pakendiandmete täpsustamine ja erinevate pakendi esitlusviiside eristamine toimuks viisil, mis ei põhjustaks müügiloa hoidjatele põhjendamatut halduskoormust ega häireid ravimite turustamisel.</w:t>
      </w:r>
    </w:p>
    <w:p w14:paraId="78CCAD20" w14:textId="41705C4D" w:rsidR="009959CB" w:rsidRPr="009959CB" w:rsidRDefault="009959CB" w:rsidP="009959CB">
      <w:pPr>
        <w:pStyle w:val="NormalWeb"/>
        <w:spacing w:after="0"/>
        <w:contextualSpacing/>
        <w:jc w:val="both"/>
        <w:rPr>
          <w:rFonts w:ascii="Calibri" w:hAnsi="Calibri" w:cs="Calibri"/>
          <w:color w:val="000000"/>
        </w:rPr>
      </w:pPr>
    </w:p>
    <w:p w14:paraId="5F1A8F8C" w14:textId="77777777" w:rsidR="009959CB" w:rsidRPr="009959CB" w:rsidRDefault="009959CB" w:rsidP="009959CB">
      <w:pPr>
        <w:pStyle w:val="NormalWeb"/>
        <w:spacing w:after="0"/>
        <w:contextualSpacing/>
        <w:jc w:val="both"/>
        <w:rPr>
          <w:rFonts w:ascii="Calibri" w:hAnsi="Calibri" w:cs="Calibri"/>
          <w:color w:val="000000"/>
        </w:rPr>
      </w:pPr>
      <w:r w:rsidRPr="009959CB">
        <w:rPr>
          <w:rFonts w:ascii="Calibri" w:hAnsi="Calibri" w:cs="Calibri"/>
          <w:color w:val="000000"/>
        </w:rPr>
        <w:t>Kehtiva määruse nr 38 § 3 lõike 2 kohaselt antakse pakendikood ühekordselt ja see on ajas muutumatu. Ka Ravimiamet on varasemas RTL-iga peetud kirjavahetuses märkinud, et turustatavale pakendile peaks võimalusel jääma olemasolev pakendikood, tuues muu hulgas esile selle olulisuse soodusnimekirja vaatest.</w:t>
      </w:r>
    </w:p>
    <w:p w14:paraId="1901CF7E" w14:textId="0E91DF66" w:rsidR="009959CB" w:rsidRPr="009959CB" w:rsidRDefault="009959CB" w:rsidP="009959CB">
      <w:pPr>
        <w:pStyle w:val="NormalWeb"/>
        <w:spacing w:after="0"/>
        <w:contextualSpacing/>
        <w:jc w:val="both"/>
        <w:rPr>
          <w:rFonts w:ascii="Calibri" w:hAnsi="Calibri" w:cs="Calibri"/>
          <w:color w:val="000000"/>
        </w:rPr>
      </w:pPr>
    </w:p>
    <w:p w14:paraId="7581E23F" w14:textId="77777777" w:rsidR="009959CB" w:rsidRPr="009959CB" w:rsidRDefault="009959CB" w:rsidP="009959CB">
      <w:pPr>
        <w:pStyle w:val="NormalWeb"/>
        <w:spacing w:after="0"/>
        <w:contextualSpacing/>
        <w:jc w:val="both"/>
        <w:rPr>
          <w:rFonts w:ascii="Calibri" w:hAnsi="Calibri" w:cs="Calibri"/>
          <w:color w:val="000000"/>
        </w:rPr>
      </w:pPr>
      <w:r w:rsidRPr="009959CB">
        <w:rPr>
          <w:rFonts w:ascii="Calibri" w:hAnsi="Calibri" w:cs="Calibri"/>
          <w:color w:val="000000"/>
        </w:rPr>
        <w:t>Seetõttu palume muudatuse rakendamisel lähtuda võimaluse korral põhimõttest, et juba turustatavale pakendile omistatud pakendikood säilib ning olemasolevate pakendiandmete täpsustamine toimub koostöös müügiloa hoidjatega.</w:t>
      </w:r>
    </w:p>
    <w:p w14:paraId="12D1840D" w14:textId="0D341557" w:rsidR="009959CB" w:rsidRPr="009959CB" w:rsidRDefault="009959CB" w:rsidP="009959CB">
      <w:pPr>
        <w:pStyle w:val="NormalWeb"/>
        <w:spacing w:after="0"/>
        <w:contextualSpacing/>
        <w:jc w:val="both"/>
        <w:rPr>
          <w:rFonts w:ascii="Calibri" w:hAnsi="Calibri" w:cs="Calibri"/>
          <w:color w:val="000000"/>
        </w:rPr>
      </w:pPr>
    </w:p>
    <w:p w14:paraId="0AC38F43" w14:textId="66BDD34E" w:rsidR="009959CB" w:rsidRPr="009959CB" w:rsidRDefault="009959CB" w:rsidP="009959CB">
      <w:pPr>
        <w:pStyle w:val="NormalWeb"/>
        <w:numPr>
          <w:ilvl w:val="0"/>
          <w:numId w:val="37"/>
        </w:numPr>
        <w:spacing w:after="0"/>
        <w:contextualSpacing/>
        <w:jc w:val="both"/>
        <w:rPr>
          <w:rFonts w:ascii="Calibri" w:hAnsi="Calibri" w:cs="Calibri"/>
          <w:b/>
          <w:bCs/>
          <w:color w:val="000000"/>
        </w:rPr>
      </w:pPr>
      <w:r w:rsidRPr="009959CB">
        <w:rPr>
          <w:rFonts w:ascii="Calibri" w:hAnsi="Calibri" w:cs="Calibri"/>
          <w:b/>
          <w:bCs/>
          <w:color w:val="000000"/>
        </w:rPr>
        <w:t>Narkootiliste ja psühhotroopsete ravimite väljastatava koguse 20% piir</w:t>
      </w:r>
    </w:p>
    <w:p w14:paraId="0B5BBB16" w14:textId="22235072" w:rsidR="009959CB" w:rsidRPr="009959CB" w:rsidRDefault="009959CB" w:rsidP="009959CB">
      <w:pPr>
        <w:pStyle w:val="NormalWeb"/>
        <w:spacing w:after="0"/>
        <w:contextualSpacing/>
        <w:jc w:val="both"/>
        <w:rPr>
          <w:rFonts w:ascii="Calibri" w:hAnsi="Calibri" w:cs="Calibri"/>
          <w:color w:val="000000"/>
        </w:rPr>
      </w:pPr>
    </w:p>
    <w:p w14:paraId="5924E1E1" w14:textId="77777777" w:rsidR="009959CB" w:rsidRPr="009959CB" w:rsidRDefault="009959CB" w:rsidP="009959CB">
      <w:pPr>
        <w:pStyle w:val="NormalWeb"/>
        <w:spacing w:after="0"/>
        <w:contextualSpacing/>
        <w:jc w:val="both"/>
        <w:rPr>
          <w:rFonts w:ascii="Calibri" w:hAnsi="Calibri" w:cs="Calibri"/>
          <w:color w:val="000000"/>
        </w:rPr>
      </w:pPr>
      <w:r w:rsidRPr="009959CB">
        <w:rPr>
          <w:rFonts w:ascii="Calibri" w:hAnsi="Calibri" w:cs="Calibri"/>
          <w:color w:val="000000"/>
        </w:rPr>
        <w:t>Juhime tähelepanu eelnõu § 1 punktis 8 kavandatud määruse nr 30 § 6 lõike 7 sõnastuse ja eelnõu seletuskirjas kirjeldatud muudatuse eesmärgi erinevusele.</w:t>
      </w:r>
    </w:p>
    <w:p w14:paraId="76FA58FD" w14:textId="77777777" w:rsidR="009959CB" w:rsidRPr="009959CB" w:rsidRDefault="009959CB" w:rsidP="009959CB">
      <w:pPr>
        <w:pStyle w:val="NormalWeb"/>
        <w:spacing w:after="0"/>
        <w:contextualSpacing/>
        <w:jc w:val="both"/>
        <w:rPr>
          <w:rFonts w:ascii="Calibri" w:hAnsi="Calibri" w:cs="Calibri"/>
          <w:color w:val="000000"/>
        </w:rPr>
      </w:pPr>
      <w:r w:rsidRPr="009959CB">
        <w:rPr>
          <w:rFonts w:ascii="Calibri" w:hAnsi="Calibri" w:cs="Calibri"/>
          <w:color w:val="000000"/>
        </w:rPr>
        <w:t>Eelnõu kohaselt võib narkootilise ja psühhotroopse ravimi puhul õige ravimpakendi suuruse puudumise korral väljastada lähima suurusega originaalpakendi juhul, kui „väljastatava ravimi kogus ei ületa 20% väljakirjutatud ravimi kogusest“. Seletuskirjas on seevastu kirjeldatud võimalust väljastada ravimit ±20% väljakirjutatud kogusest.</w:t>
      </w:r>
    </w:p>
    <w:p w14:paraId="7D34E375" w14:textId="3FD1F4D7" w:rsidR="009959CB" w:rsidRPr="009959CB" w:rsidRDefault="009959CB" w:rsidP="009959CB">
      <w:pPr>
        <w:pStyle w:val="NormalWeb"/>
        <w:spacing w:after="0"/>
        <w:contextualSpacing/>
        <w:jc w:val="both"/>
        <w:rPr>
          <w:rFonts w:ascii="Calibri" w:hAnsi="Calibri" w:cs="Calibri"/>
          <w:color w:val="000000"/>
        </w:rPr>
      </w:pPr>
    </w:p>
    <w:p w14:paraId="710701F4" w14:textId="77777777" w:rsidR="009959CB" w:rsidRPr="009959CB" w:rsidRDefault="009959CB" w:rsidP="009959CB">
      <w:pPr>
        <w:pStyle w:val="NormalWeb"/>
        <w:spacing w:after="0"/>
        <w:contextualSpacing/>
        <w:jc w:val="both"/>
        <w:rPr>
          <w:rFonts w:ascii="Calibri" w:hAnsi="Calibri" w:cs="Calibri"/>
          <w:color w:val="000000"/>
        </w:rPr>
      </w:pPr>
      <w:r w:rsidRPr="009959CB">
        <w:rPr>
          <w:rFonts w:ascii="Calibri" w:hAnsi="Calibri" w:cs="Calibri"/>
          <w:color w:val="000000"/>
        </w:rPr>
        <w:t>Palume eelnõu normitekst ja seletuskiri omavahel kooskõlla viia, korrigeerides vastavalt kas normiteksti või seletuskirja selliselt, et sõnastus väljendaks üheselt kavandatud muudatuse eesmärki.</w:t>
      </w:r>
    </w:p>
    <w:p w14:paraId="34E2D09F" w14:textId="74AAA442" w:rsidR="009959CB" w:rsidRPr="009959CB" w:rsidRDefault="009959CB" w:rsidP="009959CB">
      <w:pPr>
        <w:pStyle w:val="NormalWeb"/>
        <w:spacing w:after="0"/>
        <w:contextualSpacing/>
        <w:jc w:val="both"/>
        <w:rPr>
          <w:rFonts w:ascii="Calibri" w:hAnsi="Calibri" w:cs="Calibri"/>
          <w:color w:val="000000"/>
        </w:rPr>
      </w:pPr>
    </w:p>
    <w:p w14:paraId="7C6A3BA6" w14:textId="77777777" w:rsidR="009959CB" w:rsidRPr="009959CB" w:rsidRDefault="009959CB" w:rsidP="009959CB">
      <w:pPr>
        <w:pStyle w:val="NormalWeb"/>
        <w:spacing w:after="0"/>
        <w:contextualSpacing/>
        <w:jc w:val="both"/>
        <w:rPr>
          <w:rFonts w:ascii="Calibri" w:hAnsi="Calibri" w:cs="Calibri"/>
          <w:b/>
          <w:bCs/>
          <w:color w:val="000000"/>
        </w:rPr>
      </w:pPr>
      <w:r w:rsidRPr="009959CB">
        <w:rPr>
          <w:rFonts w:ascii="Calibri" w:hAnsi="Calibri" w:cs="Calibri"/>
          <w:b/>
          <w:bCs/>
          <w:color w:val="000000"/>
        </w:rPr>
        <w:lastRenderedPageBreak/>
        <w:t>4. Eelnõu § 1 punkt 8 – pakendi jagamise võimaluse laiendamine</w:t>
      </w:r>
    </w:p>
    <w:p w14:paraId="127F51FC" w14:textId="5FAD8883" w:rsidR="009959CB" w:rsidRPr="009959CB" w:rsidRDefault="009959CB" w:rsidP="009959CB">
      <w:pPr>
        <w:pStyle w:val="NormalWeb"/>
        <w:spacing w:after="0"/>
        <w:contextualSpacing/>
        <w:jc w:val="both"/>
        <w:rPr>
          <w:rFonts w:ascii="Calibri" w:hAnsi="Calibri" w:cs="Calibri"/>
          <w:color w:val="000000"/>
        </w:rPr>
      </w:pPr>
    </w:p>
    <w:p w14:paraId="3978DBA2" w14:textId="77777777" w:rsidR="009959CB" w:rsidRPr="009959CB" w:rsidRDefault="009959CB" w:rsidP="009959CB">
      <w:pPr>
        <w:pStyle w:val="NormalWeb"/>
        <w:spacing w:after="0"/>
        <w:contextualSpacing/>
        <w:jc w:val="both"/>
        <w:rPr>
          <w:rFonts w:ascii="Calibri" w:hAnsi="Calibri" w:cs="Calibri"/>
          <w:color w:val="000000"/>
        </w:rPr>
      </w:pPr>
      <w:r w:rsidRPr="009959CB">
        <w:rPr>
          <w:rFonts w:ascii="Calibri" w:hAnsi="Calibri" w:cs="Calibri"/>
          <w:color w:val="000000"/>
        </w:rPr>
        <w:t>RTL ei toeta eelnõu § 1 punktiga 8 määruse nr 30 § 6 lõikesse 7 lisatavat neljandat lauset praeguses sõnastuses.</w:t>
      </w:r>
    </w:p>
    <w:p w14:paraId="6C8E9A55" w14:textId="3B7A58CD" w:rsidR="009959CB" w:rsidRPr="009959CB" w:rsidRDefault="009959CB" w:rsidP="009959CB">
      <w:pPr>
        <w:pStyle w:val="NormalWeb"/>
        <w:spacing w:after="0"/>
        <w:contextualSpacing/>
        <w:jc w:val="both"/>
        <w:rPr>
          <w:rFonts w:ascii="Calibri" w:hAnsi="Calibri" w:cs="Calibri"/>
          <w:color w:val="000000"/>
        </w:rPr>
      </w:pPr>
    </w:p>
    <w:p w14:paraId="35C3AFD5" w14:textId="77777777" w:rsidR="009959CB" w:rsidRPr="009959CB" w:rsidRDefault="009959CB" w:rsidP="009959CB">
      <w:pPr>
        <w:pStyle w:val="NormalWeb"/>
        <w:spacing w:after="0"/>
        <w:contextualSpacing/>
        <w:jc w:val="both"/>
        <w:rPr>
          <w:rFonts w:ascii="Calibri" w:hAnsi="Calibri" w:cs="Calibri"/>
          <w:color w:val="000000"/>
        </w:rPr>
      </w:pPr>
      <w:r w:rsidRPr="009959CB">
        <w:rPr>
          <w:rFonts w:ascii="Calibri" w:hAnsi="Calibri" w:cs="Calibri"/>
          <w:color w:val="000000"/>
        </w:rPr>
        <w:t>Mõistame kavandatud muudatuse eesmärki võimaldada patsiendile vajaliku ravimikoguse paindlikumat väljastamist olukorras, kus originaalpakendi jagamisel ei säili esmase pakendi kõigil osadel nõutud märgistusteave. Samas leiame, et kavandatud lahenduse kohaldamisala on liiga lai ja ebaselge ning ravimi kvaliteedi, stabiilsuse, jälgitavuse ja patsiendiohutusega seotud küsimused ei ole piisavalt lahendatud.</w:t>
      </w:r>
    </w:p>
    <w:p w14:paraId="2F3D4915" w14:textId="1487DEC8" w:rsidR="009959CB" w:rsidRPr="009959CB" w:rsidRDefault="009959CB" w:rsidP="009959CB">
      <w:pPr>
        <w:pStyle w:val="NormalWeb"/>
        <w:spacing w:after="0"/>
        <w:contextualSpacing/>
        <w:jc w:val="both"/>
        <w:rPr>
          <w:rFonts w:ascii="Calibri" w:hAnsi="Calibri" w:cs="Calibri"/>
          <w:color w:val="000000"/>
        </w:rPr>
      </w:pPr>
    </w:p>
    <w:p w14:paraId="5D298823" w14:textId="77777777" w:rsidR="009959CB" w:rsidRPr="009959CB" w:rsidRDefault="009959CB" w:rsidP="009959CB">
      <w:pPr>
        <w:pStyle w:val="NormalWeb"/>
        <w:spacing w:after="0"/>
        <w:contextualSpacing/>
        <w:jc w:val="both"/>
        <w:rPr>
          <w:rFonts w:ascii="Calibri" w:hAnsi="Calibri" w:cs="Calibri"/>
          <w:color w:val="000000"/>
        </w:rPr>
      </w:pPr>
      <w:r w:rsidRPr="009959CB">
        <w:rPr>
          <w:rFonts w:ascii="Calibri" w:hAnsi="Calibri" w:cs="Calibri"/>
          <w:color w:val="000000"/>
        </w:rPr>
        <w:t>Määruse nr 30 § 6 lõike 7 kolmandas lauses nimetatakse esmase pakendi näidetena muu hulgas blisterpakendit, ribapakendit, tuubi, ampulli ja viaali. Neljanda lause sõnastusest ei selgu üheselt, kas lisapakendisse paigutamise võimalus hõlmab üksnes pakendi füüsilist osadeks jagamist, näiteks blister- või ribapakendi jagamist, või ka ravimpreparaadi eemaldamist müügiloa dokumentatsioonis ettenähtud esmasest pakendist ja selle paigutamist apteegis teise ravimiga vahetult kokkupuutuvasse pakendisse.</w:t>
      </w:r>
    </w:p>
    <w:p w14:paraId="1D589AEE" w14:textId="4F5F4286" w:rsidR="009959CB" w:rsidRPr="009959CB" w:rsidRDefault="009959CB" w:rsidP="009959CB">
      <w:pPr>
        <w:pStyle w:val="NormalWeb"/>
        <w:spacing w:after="0"/>
        <w:contextualSpacing/>
        <w:jc w:val="both"/>
        <w:rPr>
          <w:rFonts w:ascii="Calibri" w:hAnsi="Calibri" w:cs="Calibri"/>
          <w:color w:val="000000"/>
        </w:rPr>
      </w:pPr>
    </w:p>
    <w:p w14:paraId="6B3C6BBC" w14:textId="77777777" w:rsidR="009959CB" w:rsidRPr="009959CB" w:rsidRDefault="009959CB" w:rsidP="009959CB">
      <w:pPr>
        <w:pStyle w:val="NormalWeb"/>
        <w:spacing w:after="0"/>
        <w:contextualSpacing/>
        <w:jc w:val="both"/>
        <w:rPr>
          <w:rFonts w:ascii="Calibri" w:hAnsi="Calibri" w:cs="Calibri"/>
          <w:color w:val="000000"/>
        </w:rPr>
      </w:pPr>
      <w:r w:rsidRPr="009959CB">
        <w:rPr>
          <w:rFonts w:ascii="Calibri" w:hAnsi="Calibri" w:cs="Calibri"/>
          <w:color w:val="000000"/>
        </w:rPr>
        <w:t>RTL-i hinnangul ei ole viimasel juhul piisav üksnes puuduva märgistusteabe kandmine lisapakendile. Esmane pakend on oluline ravimi kaitsmiseks näiteks niiskuse, valguse, õhu või saastumise eest. Seetõttu peab olema tagatud, et pärast pakendi jagamist säilivad ravimi nõuetekohased säilitamistingimused, kvaliteet ja stabiilsus, ravimi jälgitavus ning üheselt mõistetav vastutuse jaotus.</w:t>
      </w:r>
    </w:p>
    <w:p w14:paraId="07FDEBE2" w14:textId="70718DF1" w:rsidR="009959CB" w:rsidRPr="009959CB" w:rsidRDefault="009959CB" w:rsidP="009959CB">
      <w:pPr>
        <w:pStyle w:val="NormalWeb"/>
        <w:spacing w:after="0"/>
        <w:contextualSpacing/>
        <w:jc w:val="both"/>
        <w:rPr>
          <w:rFonts w:ascii="Calibri" w:hAnsi="Calibri" w:cs="Calibri"/>
          <w:color w:val="000000"/>
        </w:rPr>
      </w:pPr>
    </w:p>
    <w:p w14:paraId="334EF5D3" w14:textId="77777777" w:rsidR="009959CB" w:rsidRPr="009959CB" w:rsidRDefault="009959CB" w:rsidP="009959CB">
      <w:pPr>
        <w:pStyle w:val="NormalWeb"/>
        <w:spacing w:after="0"/>
        <w:contextualSpacing/>
        <w:jc w:val="both"/>
        <w:rPr>
          <w:rFonts w:ascii="Calibri" w:hAnsi="Calibri" w:cs="Calibri"/>
          <w:color w:val="000000"/>
        </w:rPr>
      </w:pPr>
      <w:r w:rsidRPr="009959CB">
        <w:rPr>
          <w:rFonts w:ascii="Calibri" w:hAnsi="Calibri" w:cs="Calibri"/>
          <w:color w:val="000000"/>
        </w:rPr>
        <w:t>Ka teiste Euroopa riikide praktika näitab, et ravimi originaalpakendist eemaldamist käsitletakse lisaks märgistamisele ravimi kvaliteedi ja stabiilsuse küsimusena. Näiteks Taanis on doseerimisjaendamise korral reguleeritud ravimi säilitamise aeg väljaspool originaalpakendit ning pikema säilitamisaja põhjendamiseks nõutakse muu hulgas stabiilsust, niiskus- ja valgustundlikkust käsitlevaid andmeid.</w:t>
      </w:r>
    </w:p>
    <w:p w14:paraId="77396662" w14:textId="750C359C" w:rsidR="009959CB" w:rsidRPr="009959CB" w:rsidRDefault="009959CB" w:rsidP="009959CB">
      <w:pPr>
        <w:pStyle w:val="NormalWeb"/>
        <w:spacing w:after="0"/>
        <w:contextualSpacing/>
        <w:jc w:val="both"/>
        <w:rPr>
          <w:rFonts w:ascii="Calibri" w:hAnsi="Calibri" w:cs="Calibri"/>
          <w:color w:val="000000"/>
        </w:rPr>
      </w:pPr>
    </w:p>
    <w:p w14:paraId="7019A96C" w14:textId="77777777" w:rsidR="009959CB" w:rsidRPr="009959CB" w:rsidRDefault="009959CB" w:rsidP="009959CB">
      <w:pPr>
        <w:pStyle w:val="NormalWeb"/>
        <w:spacing w:after="0"/>
        <w:contextualSpacing/>
        <w:jc w:val="both"/>
        <w:rPr>
          <w:rFonts w:ascii="Calibri" w:hAnsi="Calibri" w:cs="Calibri"/>
          <w:color w:val="000000"/>
        </w:rPr>
      </w:pPr>
      <w:r w:rsidRPr="009959CB">
        <w:rPr>
          <w:rFonts w:ascii="Calibri" w:hAnsi="Calibri" w:cs="Calibri"/>
          <w:color w:val="000000"/>
        </w:rPr>
        <w:t>Eeltoodust lähtudes teeb RTL ettepaneku jätta eelnõust välja määruse nr 30 § 6 lõikesse 7 kavandatud lause „Pakendi jagamine on lubatud ka juhul, kui käesoleva lõike kolmandas lauses nimetatud andmed esmase pakendi osal täielikult või osaliselt ei säili, tingimusel et apteeker paigutab jaotatud ravimi lisapakendisse, millele märgitakse puuduv teave mitte-eemaldatavalt ja selgelt loetavalt.“. Kui muudatusest ei loobuta, tuleks üheselt määratleda selle kohaldamisala ning piirata pakendi jagamise võimalust selliselt, et oleks tagatud ravimi kvaliteet, stabiilsus, jälgitavus ja patsiendiohutus. Eelkõige ei tohiks säte võimaldada ravimpreparaadi eemaldamist müügiloa dokumentatsioonis ettenähtud esmasest pakendist ilma ravimi kvaliteedi ja stabiilsuse säilimist tagavate nõueteta.</w:t>
      </w:r>
    </w:p>
    <w:p w14:paraId="0BCBBEB2" w14:textId="77777777" w:rsidR="008C6F87" w:rsidRDefault="008C6F87" w:rsidP="009959CB">
      <w:pPr>
        <w:pStyle w:val="NormalWeb"/>
        <w:spacing w:before="0" w:beforeAutospacing="0" w:after="0" w:afterAutospacing="0"/>
        <w:contextualSpacing/>
        <w:jc w:val="both"/>
        <w:rPr>
          <w:rFonts w:ascii="Calibri" w:hAnsi="Calibri" w:cs="Calibri"/>
          <w:color w:val="000000"/>
        </w:rPr>
      </w:pPr>
    </w:p>
    <w:p w14:paraId="4486059F" w14:textId="77777777" w:rsidR="008020F9" w:rsidRDefault="008020F9" w:rsidP="009959CB">
      <w:pPr>
        <w:pStyle w:val="NormalWeb"/>
        <w:spacing w:before="0" w:beforeAutospacing="0" w:after="0" w:afterAutospacing="0"/>
        <w:contextualSpacing/>
        <w:jc w:val="both"/>
        <w:rPr>
          <w:rFonts w:ascii="Calibri" w:hAnsi="Calibri" w:cs="Calibri"/>
          <w:color w:val="000000"/>
        </w:rPr>
      </w:pPr>
    </w:p>
    <w:p w14:paraId="2BEC486E" w14:textId="77777777" w:rsidR="009959CB" w:rsidRPr="009959CB" w:rsidRDefault="009959CB" w:rsidP="009959CB">
      <w:pPr>
        <w:pStyle w:val="NormalWeb"/>
        <w:spacing w:before="0" w:beforeAutospacing="0" w:after="0" w:afterAutospacing="0"/>
        <w:contextualSpacing/>
        <w:jc w:val="both"/>
        <w:rPr>
          <w:rFonts w:ascii="Calibri" w:hAnsi="Calibri" w:cs="Calibri"/>
          <w:color w:val="000000"/>
        </w:rPr>
      </w:pPr>
    </w:p>
    <w:p w14:paraId="0CB37A31" w14:textId="77777777" w:rsidR="0030490A" w:rsidRPr="009959CB" w:rsidRDefault="0030490A" w:rsidP="009959CB">
      <w:pPr>
        <w:pStyle w:val="NormalWeb"/>
        <w:spacing w:before="0" w:beforeAutospacing="0" w:after="0" w:afterAutospacing="0"/>
        <w:contextualSpacing/>
        <w:jc w:val="both"/>
        <w:rPr>
          <w:rFonts w:ascii="Calibri" w:hAnsi="Calibri" w:cs="Calibri"/>
          <w:color w:val="000000"/>
        </w:rPr>
      </w:pPr>
      <w:r w:rsidRPr="009959CB">
        <w:rPr>
          <w:rFonts w:ascii="Calibri" w:hAnsi="Calibri" w:cs="Calibri"/>
          <w:color w:val="000000"/>
        </w:rPr>
        <w:t>Lugupidamisega</w:t>
      </w:r>
    </w:p>
    <w:p w14:paraId="72599301" w14:textId="59E0AC2F" w:rsidR="00305D36" w:rsidRDefault="008C6F87" w:rsidP="009959CB">
      <w:pPr>
        <w:pStyle w:val="NormalWeb"/>
        <w:spacing w:before="0" w:beforeAutospacing="0" w:after="0" w:afterAutospacing="0"/>
        <w:contextualSpacing/>
        <w:jc w:val="both"/>
        <w:rPr>
          <w:rFonts w:ascii="Calibri" w:hAnsi="Calibri" w:cs="Calibri"/>
          <w:color w:val="000000"/>
        </w:rPr>
      </w:pPr>
      <w:r w:rsidRPr="009959CB">
        <w:rPr>
          <w:rFonts w:ascii="Calibri" w:hAnsi="Calibri" w:cs="Calibri"/>
          <w:color w:val="000000"/>
        </w:rPr>
        <w:t>Riho Tapfer</w:t>
      </w:r>
    </w:p>
    <w:p w14:paraId="70698954" w14:textId="09CDA542" w:rsidR="009959CB" w:rsidRPr="009959CB" w:rsidRDefault="009959CB" w:rsidP="009959CB">
      <w:pPr>
        <w:pStyle w:val="NormalWeb"/>
        <w:spacing w:before="0" w:beforeAutospacing="0" w:after="0" w:afterAutospacing="0"/>
        <w:contextualSpacing/>
        <w:jc w:val="both"/>
        <w:rPr>
          <w:rFonts w:ascii="Calibri" w:hAnsi="Calibri" w:cs="Calibri"/>
          <w:color w:val="000000"/>
        </w:rPr>
      </w:pPr>
      <w:r>
        <w:rPr>
          <w:rFonts w:ascii="Calibri" w:hAnsi="Calibri" w:cs="Calibri"/>
          <w:color w:val="000000"/>
        </w:rPr>
        <w:t>Ravimitootjate Liidu juhataja</w:t>
      </w:r>
    </w:p>
    <w:sectPr w:rsidR="009959CB" w:rsidRPr="009959CB" w:rsidSect="00951495">
      <w:headerReference w:type="default" r:id="rId8"/>
      <w:footerReference w:type="default" r:id="rId9"/>
      <w:headerReference w:type="first" r:id="rId10"/>
      <w:footerReference w:type="first" r:id="rId11"/>
      <w:pgSz w:w="11906" w:h="16838" w:code="9"/>
      <w:pgMar w:top="1440" w:right="1440" w:bottom="1440" w:left="1440" w:header="708" w:footer="708"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40896C" w14:textId="77777777" w:rsidR="00FA4D86" w:rsidRDefault="00FA4D86">
      <w:pPr>
        <w:spacing w:after="0" w:line="240" w:lineRule="auto"/>
      </w:pPr>
      <w:r>
        <w:separator/>
      </w:r>
    </w:p>
  </w:endnote>
  <w:endnote w:type="continuationSeparator" w:id="0">
    <w:p w14:paraId="01CD7D88" w14:textId="77777777" w:rsidR="00FA4D86" w:rsidRDefault="00FA4D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3A1D42" w14:textId="1D9E5C42" w:rsidR="00627B72" w:rsidRPr="0030490A" w:rsidRDefault="0030490A" w:rsidP="00627B72">
    <w:pPr>
      <w:pStyle w:val="Footer"/>
      <w:rPr>
        <w:color w:val="auto"/>
      </w:rPr>
    </w:pPr>
    <w:r>
      <w:rPr>
        <w:noProof/>
        <w:color w:val="auto"/>
      </w:rPr>
      <mc:AlternateContent>
        <mc:Choice Requires="wps">
          <w:drawing>
            <wp:anchor distT="0" distB="0" distL="114300" distR="114300" simplePos="0" relativeHeight="251661312" behindDoc="0" locked="0" layoutInCell="1" allowOverlap="1" wp14:anchorId="2730FE48" wp14:editId="1D97D8B0">
              <wp:simplePos x="0" y="0"/>
              <wp:positionH relativeFrom="column">
                <wp:posOffset>0</wp:posOffset>
              </wp:positionH>
              <wp:positionV relativeFrom="paragraph">
                <wp:posOffset>12065</wp:posOffset>
              </wp:positionV>
              <wp:extent cx="5696801" cy="0"/>
              <wp:effectExtent l="0" t="12700" r="18415" b="12700"/>
              <wp:wrapNone/>
              <wp:docPr id="1011241897" name="Straight Connector 1"/>
              <wp:cNvGraphicFramePr/>
              <a:graphic xmlns:a="http://schemas.openxmlformats.org/drawingml/2006/main">
                <a:graphicData uri="http://schemas.microsoft.com/office/word/2010/wordprocessingShape">
                  <wps:wsp>
                    <wps:cNvCnPr/>
                    <wps:spPr>
                      <a:xfrm flipV="1">
                        <a:off x="0" y="0"/>
                        <a:ext cx="5696801" cy="0"/>
                      </a:xfrm>
                      <a:prstGeom prst="line">
                        <a:avLst/>
                      </a:prstGeom>
                      <a:noFill/>
                      <a:ln w="25400" cap="flat">
                        <a:solidFill>
                          <a:schemeClr val="accent1"/>
                        </a:solidFill>
                        <a:prstDash val="solid"/>
                        <a:round/>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line w14:anchorId="22A85353" id="Straight Connector 1"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95pt" to="448.55pt,.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jPBO4QEAACEEAAAOAAAAZHJzL2Uyb0RvYy54bWysU8FuEzEQvSPxD5bvZDeBRmWVTQ+NygVB&#13;&#10;BYW74x1nLXk9lu1mk79nPJukAU5FXCzbM/P83pvx6u4wOLGHmCz6Vs5ntRTgNXbW71r54+nh3a0U&#13;&#10;KSvfKYceWnmEJO/Wb9+sxtDAAnt0HURBID41Y2hln3NoqirpHgaVZhjAU9BgHFSmY9xVXVQjoQ+u&#13;&#10;WtT1shoxdiGihpTodjMF5ZrxjQGdvxqTIAvXSuKWeY28bstarVeq2UUVeqtPNNQ/sBiU9fToBWqj&#13;&#10;shLP0f4FNVgdMaHJM41DhcZYDayB1MzrP9R871UA1kLmpHCxKf0/WP1lf+8fI9kwhtSk8BiLioOJ&#13;&#10;gzDOhp/UU9ZFTMWBbTtebINDFpoub5Yfl7f1XAp9jlUTRIEKMeVPgIMom1Y664si1aj955TpWUo9&#13;&#10;p5Rrjw/WOe6K82Js5eLmQ02N04qGwziVuTihs11JLCU8K3Dvotgr6rLSGnyel84S9m+Z5aGNSv2U&#13;&#10;yKFpACI++24qcL5gAo/OxJBAwnuOvljEu3x0UJKd/wZG2I79mRjF3bYQmgaNfgIpOI8bkeKCkmhI&#13;&#10;witrTyUvJF9ZPymjIn4ffb7Ue/qg7NqVuLLdYnfkCanKieaQjT39mTLo12faX//s9S8AAAD//wMA&#13;&#10;UEsDBBQABgAIAAAAIQBPR2i32wAAAAkBAAAPAAAAZHJzL2Rvd25yZXYueG1sTI9BT8MwDIXvSPyH&#13;&#10;yEjcWLoJwdo1ndDQOCJRyt1tvLaicaomW8u/x3CBi6XnJz+/L98vblAXmkLv2cB6lYAibrztuTVQ&#13;&#10;vR/vtqBCRLY4eCYDXxRgX1xf5ZhZP/MbXcrYKgnhkKGBLsYx0zo0HTkMKz8Si3fyk8Mocmq1nXCW&#13;&#10;cDfoTZI8aIc9y4cORzp01HyWZ2fAVfP9McWlPtmP8mWuNq/loT4bc3uzPO9kPO1ARVri3wX8MEh/&#13;&#10;KKRY7c9sgxoMCE2UbQpKzG36uAZV/2pd5Po/QfENAAD//wMAUEsBAi0AFAAGAAgAAAAhALaDOJL+&#13;&#10;AAAA4QEAABMAAAAAAAAAAAAAAAAAAAAAAFtDb250ZW50X1R5cGVzXS54bWxQSwECLQAUAAYACAAA&#13;&#10;ACEAOP0h/9YAAACUAQAACwAAAAAAAAAAAAAAAAAvAQAAX3JlbHMvLnJlbHNQSwECLQAUAAYACAAA&#13;&#10;ACEAhIzwTuEBAAAhBAAADgAAAAAAAAAAAAAAAAAuAgAAZHJzL2Uyb0RvYy54bWxQSwECLQAUAAYA&#13;&#10;CAAAACEAT0dot9sAAAAJAQAADwAAAAAAAAAAAAAAAAA7BAAAZHJzL2Rvd25yZXYueG1sUEsFBgAA&#13;&#10;AAAEAAQA8wAAAEMFAAAAAA==&#13;&#10;" strokecolor="#4f81bd [3204]" strokeweight="2pt"/>
          </w:pict>
        </mc:Fallback>
      </mc:AlternateContent>
    </w:r>
    <w:r w:rsidR="00627B72" w:rsidRPr="006400D7">
      <w:rPr>
        <w:color w:val="auto"/>
      </w:rPr>
      <w:t>MTÜ Ravimitootjate Lii</w:t>
    </w:r>
    <w:r w:rsidR="00627B72">
      <w:rPr>
        <w:color w:val="auto"/>
      </w:rPr>
      <w:t>t</w:t>
    </w:r>
    <w:r w:rsidR="00627B72">
      <w:rPr>
        <w:color w:val="auto"/>
      </w:rPr>
      <w:tab/>
    </w:r>
    <w:r w:rsidR="00627B72">
      <w:tab/>
    </w:r>
    <w:r w:rsidR="00627B72" w:rsidRPr="002C5069">
      <w:t xml:space="preserve">e- mail: </w:t>
    </w:r>
    <w:hyperlink r:id="rId1" w:history="1">
      <w:r w:rsidR="00627B72" w:rsidRPr="009E6137">
        <w:rPr>
          <w:rStyle w:val="Hyperlink"/>
          <w:color w:val="0000FF"/>
        </w:rPr>
        <w:t>info@rtl.ee</w:t>
      </w:r>
    </w:hyperlink>
  </w:p>
  <w:p w14:paraId="1281494B" w14:textId="77777777" w:rsidR="00627B72" w:rsidRDefault="00627B72" w:rsidP="00627B72">
    <w:pPr>
      <w:pStyle w:val="Footer"/>
    </w:pPr>
    <w:r>
      <w:t>Hobujaama 4</w:t>
    </w:r>
    <w:r>
      <w:tab/>
    </w:r>
    <w:r>
      <w:tab/>
    </w:r>
    <w:proofErr w:type="spellStart"/>
    <w:r w:rsidRPr="002C5069">
      <w:t>reg</w:t>
    </w:r>
    <w:proofErr w:type="spellEnd"/>
    <w:r w:rsidRPr="002C5069">
      <w:t xml:space="preserve"> nr: 80004437</w:t>
    </w:r>
  </w:p>
  <w:p w14:paraId="73F0A12A" w14:textId="1BBC78FC" w:rsidR="00423E2B" w:rsidRPr="00627B72" w:rsidRDefault="00627B72" w:rsidP="00627B72">
    <w:pPr>
      <w:pStyle w:val="Footer"/>
    </w:pPr>
    <w:r>
      <w:t>10151 Tallinn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B81454" w14:textId="186C6DF1" w:rsidR="0030490A" w:rsidRDefault="0030490A" w:rsidP="006400D7">
    <w:pPr>
      <w:pStyle w:val="Footer"/>
      <w:rPr>
        <w:color w:val="auto"/>
      </w:rPr>
    </w:pPr>
    <w:r>
      <w:rPr>
        <w:noProof/>
        <w:color w:val="auto"/>
      </w:rPr>
      <mc:AlternateContent>
        <mc:Choice Requires="wps">
          <w:drawing>
            <wp:anchor distT="0" distB="0" distL="114300" distR="114300" simplePos="0" relativeHeight="251659264" behindDoc="0" locked="0" layoutInCell="1" allowOverlap="1" wp14:anchorId="12C28142" wp14:editId="57D3934C">
              <wp:simplePos x="0" y="0"/>
              <wp:positionH relativeFrom="column">
                <wp:posOffset>32155</wp:posOffset>
              </wp:positionH>
              <wp:positionV relativeFrom="paragraph">
                <wp:posOffset>101829</wp:posOffset>
              </wp:positionV>
              <wp:extent cx="5696801" cy="0"/>
              <wp:effectExtent l="0" t="12700" r="18415" b="12700"/>
              <wp:wrapNone/>
              <wp:docPr id="541813285" name="Straight Connector 1"/>
              <wp:cNvGraphicFramePr/>
              <a:graphic xmlns:a="http://schemas.openxmlformats.org/drawingml/2006/main">
                <a:graphicData uri="http://schemas.microsoft.com/office/word/2010/wordprocessingShape">
                  <wps:wsp>
                    <wps:cNvCnPr/>
                    <wps:spPr>
                      <a:xfrm flipV="1">
                        <a:off x="0" y="0"/>
                        <a:ext cx="5696801" cy="0"/>
                      </a:xfrm>
                      <a:prstGeom prst="line">
                        <a:avLst/>
                      </a:prstGeom>
                      <a:noFill/>
                      <a:ln w="25400" cap="flat">
                        <a:solidFill>
                          <a:schemeClr val="accent1"/>
                        </a:solidFill>
                        <a:prstDash val="solid"/>
                        <a:round/>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line w14:anchorId="1045AFFA"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pt,8pt" to="451.1pt,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jPBO4QEAACEEAAAOAAAAZHJzL2Uyb0RvYy54bWysU8FuEzEQvSPxD5bvZDeBRmWVTQ+NygVB&#13;&#10;BYW74x1nLXk9lu1mk79nPJukAU5FXCzbM/P83pvx6u4wOLGHmCz6Vs5ntRTgNXbW71r54+nh3a0U&#13;&#10;KSvfKYceWnmEJO/Wb9+sxtDAAnt0HURBID41Y2hln3NoqirpHgaVZhjAU9BgHFSmY9xVXVQjoQ+u&#13;&#10;WtT1shoxdiGihpTodjMF5ZrxjQGdvxqTIAvXSuKWeY28bstarVeq2UUVeqtPNNQ/sBiU9fToBWqj&#13;&#10;shLP0f4FNVgdMaHJM41DhcZYDayB1MzrP9R871UA1kLmpHCxKf0/WP1lf+8fI9kwhtSk8BiLioOJ&#13;&#10;gzDOhp/UU9ZFTMWBbTtebINDFpoub5Yfl7f1XAp9jlUTRIEKMeVPgIMom1Y664si1aj955TpWUo9&#13;&#10;p5Rrjw/WOe6K82Js5eLmQ02N04qGwziVuTihs11JLCU8K3Dvotgr6rLSGnyel84S9m+Z5aGNSv2U&#13;&#10;yKFpACI++24qcL5gAo/OxJBAwnuOvljEu3x0UJKd/wZG2I79mRjF3bYQmgaNfgIpOI8bkeKCkmhI&#13;&#10;witrTyUvJF9ZPymjIn4ffb7Ue/qg7NqVuLLdYnfkCanKieaQjT39mTLo12faX//s9S8AAAD//wMA&#13;&#10;UEsDBBQABgAIAAAAIQA4MgXB3AAAAAwBAAAPAAAAZHJzL2Rvd25yZXYueG1sTE9NT8MwDL0j8R8i&#13;&#10;I3Fj6SqYWNd0QkPjiEQpd7fx2orGqZpsLf8eIw5wseT37PeR7xc3qAtNofdsYL1KQBE33vbcGqje&#13;&#10;j3ePoEJEtjh4JgNfFGBfXF/lmFk/8xtdytgqEeGQoYEuxjHTOjQdOQwrPxILd/KTwyjr1Go74Szi&#13;&#10;btBpkmy0w57FocORDh01n+XZGXDVfH/c4lKf7Ef5Mlfpa3moz8bc3izPOxlPO1CRlvj3AT8dJD8U&#13;&#10;Eqz2Z7ZBDQYe1nIo8EZqCb1N0hRU/QvoItf/SxTfAAAA//8DAFBLAQItABQABgAIAAAAIQC2gziS&#13;&#10;/gAAAOEBAAATAAAAAAAAAAAAAAAAAAAAAABbQ29udGVudF9UeXBlc10ueG1sUEsBAi0AFAAGAAgA&#13;&#10;AAAhADj9If/WAAAAlAEAAAsAAAAAAAAAAAAAAAAALwEAAF9yZWxzLy5yZWxzUEsBAi0AFAAGAAgA&#13;&#10;AAAhAISM8E7hAQAAIQQAAA4AAAAAAAAAAAAAAAAALgIAAGRycy9lMm9Eb2MueG1sUEsBAi0AFAAG&#13;&#10;AAgAAAAhADgyBcHcAAAADAEAAA8AAAAAAAAAAAAAAAAAOwQAAGRycy9kb3ducmV2LnhtbFBLBQYA&#13;&#10;AAAABAAEAPMAAABEBQAAAAA=&#13;&#10;" strokecolor="#4f81bd [3204]" strokeweight="2pt"/>
          </w:pict>
        </mc:Fallback>
      </mc:AlternateContent>
    </w:r>
  </w:p>
  <w:p w14:paraId="04B2A114" w14:textId="18371F4A" w:rsidR="002C5069" w:rsidRDefault="006400D7" w:rsidP="006400D7">
    <w:pPr>
      <w:pStyle w:val="Footer"/>
    </w:pPr>
    <w:r w:rsidRPr="006400D7">
      <w:rPr>
        <w:color w:val="auto"/>
      </w:rPr>
      <w:t>MTÜ Ravimitootjate Lii</w:t>
    </w:r>
    <w:r w:rsidR="002C5069">
      <w:rPr>
        <w:color w:val="auto"/>
      </w:rPr>
      <w:t>t</w:t>
    </w:r>
    <w:r w:rsidR="002C5069">
      <w:rPr>
        <w:color w:val="auto"/>
      </w:rPr>
      <w:tab/>
    </w:r>
    <w:r>
      <w:tab/>
    </w:r>
    <w:r w:rsidR="002C5069" w:rsidRPr="002C5069">
      <w:t xml:space="preserve">e- mail: </w:t>
    </w:r>
    <w:hyperlink r:id="rId1" w:history="1">
      <w:r w:rsidR="009E6137" w:rsidRPr="009E6137">
        <w:rPr>
          <w:rStyle w:val="Hyperlink"/>
          <w:color w:val="0000FF"/>
        </w:rPr>
        <w:t>info@rtl.ee</w:t>
      </w:r>
    </w:hyperlink>
    <w:r w:rsidR="009E6137">
      <w:t xml:space="preserve"> </w:t>
    </w:r>
    <w:r w:rsidR="002C5069" w:rsidRPr="002C5069">
      <w:t xml:space="preserve"> </w:t>
    </w:r>
  </w:p>
  <w:p w14:paraId="294641F8" w14:textId="1270AA51" w:rsidR="006400D7" w:rsidRDefault="006400D7" w:rsidP="006400D7">
    <w:pPr>
      <w:pStyle w:val="Footer"/>
    </w:pPr>
    <w:r>
      <w:t>Hobujaama 4</w:t>
    </w:r>
    <w:r>
      <w:tab/>
    </w:r>
    <w:r w:rsidR="002C5069">
      <w:tab/>
    </w:r>
    <w:proofErr w:type="spellStart"/>
    <w:r w:rsidR="002C5069" w:rsidRPr="002C5069">
      <w:t>reg</w:t>
    </w:r>
    <w:proofErr w:type="spellEnd"/>
    <w:r w:rsidR="002C5069" w:rsidRPr="002C5069">
      <w:t xml:space="preserve"> nr: 80004437</w:t>
    </w:r>
  </w:p>
  <w:p w14:paraId="361CAC7F" w14:textId="74C037DE" w:rsidR="00423E2B" w:rsidRDefault="006400D7" w:rsidP="006400D7">
    <w:pPr>
      <w:pStyle w:val="Footer"/>
    </w:pPr>
    <w:r>
      <w:t>10151 Tallinn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DDBAB8" w14:textId="77777777" w:rsidR="00FA4D86" w:rsidRDefault="00FA4D86">
      <w:pPr>
        <w:spacing w:after="0" w:line="240" w:lineRule="auto"/>
      </w:pPr>
      <w:r>
        <w:separator/>
      </w:r>
    </w:p>
  </w:footnote>
  <w:footnote w:type="continuationSeparator" w:id="0">
    <w:p w14:paraId="15BCD4ED" w14:textId="77777777" w:rsidR="00FA4D86" w:rsidRDefault="00FA4D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E39B8C" w14:textId="47D227E2" w:rsidR="00951495" w:rsidRDefault="00951495">
    <w:pPr>
      <w:pStyle w:val="Header"/>
    </w:pPr>
  </w:p>
  <w:p w14:paraId="7FAD9894" w14:textId="77777777" w:rsidR="00423E2B" w:rsidRDefault="00423E2B" w:rsidP="00095EC9">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294BD7" w14:textId="77777777" w:rsidR="00423E2B" w:rsidRDefault="00423E2B" w:rsidP="00DD0F9F">
    <w:pPr>
      <w:pStyle w:val="Header"/>
      <w:tabs>
        <w:tab w:val="clear" w:pos="9406"/>
        <w:tab w:val="right" w:pos="8627"/>
      </w:tabs>
      <w:jc w:val="right"/>
    </w:pPr>
    <w:r>
      <w:rPr>
        <w:noProof/>
        <w:lang w:eastAsia="en-US"/>
      </w:rPr>
      <w:drawing>
        <wp:inline distT="0" distB="0" distL="0" distR="0" wp14:anchorId="447C2AA7" wp14:editId="480B0796">
          <wp:extent cx="2285420" cy="346218"/>
          <wp:effectExtent l="0" t="0" r="635" b="0"/>
          <wp:docPr id="2" name="officeArt object"/>
          <wp:cNvGraphicFramePr/>
          <a:graphic xmlns:a="http://schemas.openxmlformats.org/drawingml/2006/main">
            <a:graphicData uri="http://schemas.openxmlformats.org/drawingml/2006/picture">
              <pic:pic xmlns:pic="http://schemas.openxmlformats.org/drawingml/2006/picture">
                <pic:nvPicPr>
                  <pic:cNvPr id="1073741826" name="image1.png"/>
                  <pic:cNvPicPr>
                    <a:picLocks noChangeAspect="1"/>
                  </pic:cNvPicPr>
                </pic:nvPicPr>
                <pic:blipFill>
                  <a:blip r:embed="rId1"/>
                  <a:stretch>
                    <a:fillRect/>
                  </a:stretch>
                </pic:blipFill>
                <pic:spPr>
                  <a:xfrm>
                    <a:off x="0" y="0"/>
                    <a:ext cx="2461623" cy="372911"/>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517E1D"/>
    <w:multiLevelType w:val="hybridMultilevel"/>
    <w:tmpl w:val="D396DDA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A9D4B34"/>
    <w:multiLevelType w:val="hybridMultilevel"/>
    <w:tmpl w:val="81180F56"/>
    <w:lvl w:ilvl="0" w:tplc="CA7E00DC">
      <w:numFmt w:val="bullet"/>
      <w:lvlText w:val="-"/>
      <w:lvlJc w:val="left"/>
      <w:pPr>
        <w:ind w:left="360" w:hanging="360"/>
      </w:pPr>
      <w:rPr>
        <w:rFonts w:ascii="Calibri" w:eastAsia="Calibri" w:hAnsi="Calibri" w:cs="Calibri" w:hint="default"/>
      </w:rPr>
    </w:lvl>
    <w:lvl w:ilvl="1" w:tplc="C67065D0">
      <w:numFmt w:val="bullet"/>
      <w:lvlText w:val="•"/>
      <w:lvlJc w:val="left"/>
      <w:pPr>
        <w:ind w:left="1080" w:hanging="360"/>
      </w:pPr>
      <w:rPr>
        <w:rFonts w:ascii="Calibri" w:eastAsia="Calibri" w:hAnsi="Calibri" w:cs="Calibri"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 w15:restartNumberingAfterBreak="0">
    <w:nsid w:val="0F3B0B6A"/>
    <w:multiLevelType w:val="hybridMultilevel"/>
    <w:tmpl w:val="47C854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0A71E9"/>
    <w:multiLevelType w:val="hybridMultilevel"/>
    <w:tmpl w:val="854C201A"/>
    <w:styleLink w:val="ImportedStyle3"/>
    <w:lvl w:ilvl="0" w:tplc="05D4F1B0">
      <w:start w:val="1"/>
      <w:numFmt w:val="bullet"/>
      <w:lvlText w:val="•"/>
      <w:lvlJc w:val="left"/>
      <w:pPr>
        <w:ind w:left="142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0044EAC">
      <w:start w:val="1"/>
      <w:numFmt w:val="bullet"/>
      <w:lvlText w:val="o"/>
      <w:lvlJc w:val="left"/>
      <w:pPr>
        <w:ind w:left="214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DECAB5E">
      <w:start w:val="1"/>
      <w:numFmt w:val="bullet"/>
      <w:lvlText w:val="▪"/>
      <w:lvlJc w:val="left"/>
      <w:pPr>
        <w:ind w:left="286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C02CBA2">
      <w:start w:val="1"/>
      <w:numFmt w:val="bullet"/>
      <w:lvlText w:val="•"/>
      <w:lvlJc w:val="left"/>
      <w:pPr>
        <w:ind w:left="358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DE89F4E">
      <w:start w:val="1"/>
      <w:numFmt w:val="bullet"/>
      <w:lvlText w:val="o"/>
      <w:lvlJc w:val="left"/>
      <w:pPr>
        <w:ind w:left="430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C40030E">
      <w:start w:val="1"/>
      <w:numFmt w:val="bullet"/>
      <w:lvlText w:val="▪"/>
      <w:lvlJc w:val="left"/>
      <w:pPr>
        <w:ind w:left="502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C6CF27A">
      <w:start w:val="1"/>
      <w:numFmt w:val="bullet"/>
      <w:lvlText w:val="•"/>
      <w:lvlJc w:val="left"/>
      <w:pPr>
        <w:ind w:left="574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3F626C4">
      <w:start w:val="1"/>
      <w:numFmt w:val="bullet"/>
      <w:lvlText w:val="o"/>
      <w:lvlJc w:val="left"/>
      <w:pPr>
        <w:ind w:left="646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B16B69E">
      <w:start w:val="1"/>
      <w:numFmt w:val="bullet"/>
      <w:lvlText w:val="▪"/>
      <w:lvlJc w:val="left"/>
      <w:pPr>
        <w:ind w:left="718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3F5548B"/>
    <w:multiLevelType w:val="multilevel"/>
    <w:tmpl w:val="40C8A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BA5C6D"/>
    <w:multiLevelType w:val="hybridMultilevel"/>
    <w:tmpl w:val="419C8476"/>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6" w15:restartNumberingAfterBreak="0">
    <w:nsid w:val="153D7726"/>
    <w:multiLevelType w:val="hybridMultilevel"/>
    <w:tmpl w:val="9FC24F0E"/>
    <w:numStyleLink w:val="ImportedStyle2"/>
  </w:abstractNum>
  <w:abstractNum w:abstractNumId="7" w15:restartNumberingAfterBreak="0">
    <w:nsid w:val="166608C6"/>
    <w:multiLevelType w:val="multilevel"/>
    <w:tmpl w:val="9B802B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2C326D"/>
    <w:multiLevelType w:val="hybridMultilevel"/>
    <w:tmpl w:val="736ED38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E474E68"/>
    <w:multiLevelType w:val="hybridMultilevel"/>
    <w:tmpl w:val="FEE6464A"/>
    <w:numStyleLink w:val="ImportedStyle1"/>
  </w:abstractNum>
  <w:abstractNum w:abstractNumId="10" w15:restartNumberingAfterBreak="0">
    <w:nsid w:val="202314F6"/>
    <w:multiLevelType w:val="hybridMultilevel"/>
    <w:tmpl w:val="99AE50F8"/>
    <w:lvl w:ilvl="0" w:tplc="CA7E00DC">
      <w:numFmt w:val="bullet"/>
      <w:lvlText w:val="-"/>
      <w:lvlJc w:val="left"/>
      <w:pPr>
        <w:ind w:left="360" w:hanging="360"/>
      </w:pPr>
      <w:rPr>
        <w:rFonts w:ascii="Calibri" w:eastAsia="Calibr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20825F97"/>
    <w:multiLevelType w:val="hybridMultilevel"/>
    <w:tmpl w:val="98767FB6"/>
    <w:lvl w:ilvl="0" w:tplc="001A3C60">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2E853F1"/>
    <w:multiLevelType w:val="hybridMultilevel"/>
    <w:tmpl w:val="87309FBC"/>
    <w:numStyleLink w:val="ImportedStyle4"/>
  </w:abstractNum>
  <w:abstractNum w:abstractNumId="13" w15:restartNumberingAfterBreak="0">
    <w:nsid w:val="25AD0E56"/>
    <w:multiLevelType w:val="multilevel"/>
    <w:tmpl w:val="60A86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5A7EF1"/>
    <w:multiLevelType w:val="hybridMultilevel"/>
    <w:tmpl w:val="749AC44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7E4F86"/>
    <w:multiLevelType w:val="hybridMultilevel"/>
    <w:tmpl w:val="0B9A8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400089"/>
    <w:multiLevelType w:val="hybridMultilevel"/>
    <w:tmpl w:val="854C201A"/>
    <w:numStyleLink w:val="ImportedStyle3"/>
  </w:abstractNum>
  <w:abstractNum w:abstractNumId="17" w15:restartNumberingAfterBreak="0">
    <w:nsid w:val="39E82FE0"/>
    <w:multiLevelType w:val="hybridMultilevel"/>
    <w:tmpl w:val="9FC24F0E"/>
    <w:styleLink w:val="ImportedStyle2"/>
    <w:lvl w:ilvl="0" w:tplc="41AE0DAA">
      <w:start w:val="1"/>
      <w:numFmt w:val="decimal"/>
      <w:lvlText w:val="%1."/>
      <w:lvlJc w:val="left"/>
      <w:pPr>
        <w:ind w:left="709" w:hanging="425"/>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0DC9CF6">
      <w:start w:val="1"/>
      <w:numFmt w:val="lowerLetter"/>
      <w:lvlText w:val="%2."/>
      <w:lvlJc w:val="left"/>
      <w:pPr>
        <w:ind w:left="1069" w:hanging="43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494F2C2">
      <w:start w:val="1"/>
      <w:numFmt w:val="lowerRoman"/>
      <w:lvlText w:val="%3."/>
      <w:lvlJc w:val="left"/>
      <w:pPr>
        <w:ind w:left="1789" w:hanging="35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D70FC04">
      <w:start w:val="1"/>
      <w:numFmt w:val="decimal"/>
      <w:lvlText w:val="%4."/>
      <w:lvlJc w:val="left"/>
      <w:pPr>
        <w:ind w:left="2509" w:hanging="43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ECE2970">
      <w:start w:val="1"/>
      <w:numFmt w:val="lowerLetter"/>
      <w:lvlText w:val="%5."/>
      <w:lvlJc w:val="left"/>
      <w:pPr>
        <w:ind w:left="3229" w:hanging="43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9682950">
      <w:start w:val="1"/>
      <w:numFmt w:val="lowerRoman"/>
      <w:lvlText w:val="%6."/>
      <w:lvlJc w:val="left"/>
      <w:pPr>
        <w:ind w:left="3949" w:hanging="35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664F65E">
      <w:start w:val="1"/>
      <w:numFmt w:val="decimal"/>
      <w:lvlText w:val="%7."/>
      <w:lvlJc w:val="left"/>
      <w:pPr>
        <w:ind w:left="4669" w:hanging="43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76ED288">
      <w:start w:val="1"/>
      <w:numFmt w:val="lowerLetter"/>
      <w:lvlText w:val="%8."/>
      <w:lvlJc w:val="left"/>
      <w:pPr>
        <w:ind w:left="5389" w:hanging="43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9202A1A">
      <w:start w:val="1"/>
      <w:numFmt w:val="lowerRoman"/>
      <w:lvlText w:val="%9."/>
      <w:lvlJc w:val="left"/>
      <w:pPr>
        <w:ind w:left="6109" w:hanging="35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3BD87EA0"/>
    <w:multiLevelType w:val="hybridMultilevel"/>
    <w:tmpl w:val="7A4AD77A"/>
    <w:lvl w:ilvl="0" w:tplc="B6382936">
      <w:start w:val="5"/>
      <w:numFmt w:val="bullet"/>
      <w:lvlText w:val="-"/>
      <w:lvlJc w:val="left"/>
      <w:pPr>
        <w:ind w:left="720" w:hanging="360"/>
      </w:pPr>
      <w:rPr>
        <w:rFonts w:ascii="Calibri" w:eastAsia="Times New Roman" w:hAnsi="Calibri" w:cs="Calibri" w:hint="default"/>
        <w:color w:val="000000" w:themeColor="text1"/>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7075E5"/>
    <w:multiLevelType w:val="hybridMultilevel"/>
    <w:tmpl w:val="EB7C78F4"/>
    <w:lvl w:ilvl="0" w:tplc="08090013">
      <w:start w:val="1"/>
      <w:numFmt w:val="upperRoman"/>
      <w:lvlText w:val="%1."/>
      <w:lvlJc w:val="righ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42A33457"/>
    <w:multiLevelType w:val="multilevel"/>
    <w:tmpl w:val="4CCA6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C41AF9"/>
    <w:multiLevelType w:val="hybridMultilevel"/>
    <w:tmpl w:val="CEF2A974"/>
    <w:lvl w:ilvl="0" w:tplc="31A637B6">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2" w15:restartNumberingAfterBreak="0">
    <w:nsid w:val="4FF077AA"/>
    <w:multiLevelType w:val="multilevel"/>
    <w:tmpl w:val="EAAC8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6D1917"/>
    <w:multiLevelType w:val="hybridMultilevel"/>
    <w:tmpl w:val="574A226E"/>
    <w:lvl w:ilvl="0" w:tplc="EC8AF81A">
      <w:start w:val="1"/>
      <w:numFmt w:val="bullet"/>
      <w:lvlText w:val=""/>
      <w:lvlJc w:val="left"/>
      <w:pPr>
        <w:ind w:left="785" w:hanging="360"/>
      </w:pPr>
      <w:rPr>
        <w:rFonts w:ascii="Symbol" w:hAnsi="Symbol"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DAAD65C">
      <w:start w:val="1"/>
      <w:numFmt w:val="bullet"/>
      <w:lvlText w:val="o"/>
      <w:lvlJc w:val="left"/>
      <w:pPr>
        <w:ind w:left="1505"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54EFD54">
      <w:start w:val="1"/>
      <w:numFmt w:val="bullet"/>
      <w:lvlText w:val="▪"/>
      <w:lvlJc w:val="left"/>
      <w:pPr>
        <w:ind w:left="2225"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CDEE30C">
      <w:start w:val="1"/>
      <w:numFmt w:val="bullet"/>
      <w:lvlText w:val="•"/>
      <w:lvlJc w:val="left"/>
      <w:pPr>
        <w:ind w:left="294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A08D276">
      <w:start w:val="1"/>
      <w:numFmt w:val="bullet"/>
      <w:lvlText w:val="o"/>
      <w:lvlJc w:val="left"/>
      <w:pPr>
        <w:ind w:left="3665"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5763B0C">
      <w:start w:val="1"/>
      <w:numFmt w:val="bullet"/>
      <w:lvlText w:val="▪"/>
      <w:lvlJc w:val="left"/>
      <w:pPr>
        <w:ind w:left="4385"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4B642A8">
      <w:start w:val="1"/>
      <w:numFmt w:val="bullet"/>
      <w:lvlText w:val="•"/>
      <w:lvlJc w:val="left"/>
      <w:pPr>
        <w:ind w:left="510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91ABB6C">
      <w:start w:val="1"/>
      <w:numFmt w:val="bullet"/>
      <w:lvlText w:val="o"/>
      <w:lvlJc w:val="left"/>
      <w:pPr>
        <w:ind w:left="5825"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112F5F6">
      <w:start w:val="1"/>
      <w:numFmt w:val="bullet"/>
      <w:lvlText w:val="▪"/>
      <w:lvlJc w:val="left"/>
      <w:pPr>
        <w:ind w:left="6545"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5604229E"/>
    <w:multiLevelType w:val="hybridMultilevel"/>
    <w:tmpl w:val="950C5188"/>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5" w15:restartNumberingAfterBreak="0">
    <w:nsid w:val="5C306FB7"/>
    <w:multiLevelType w:val="hybridMultilevel"/>
    <w:tmpl w:val="27625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BB6BF9"/>
    <w:multiLevelType w:val="hybridMultilevel"/>
    <w:tmpl w:val="EE5A7688"/>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7" w15:restartNumberingAfterBreak="0">
    <w:nsid w:val="67404084"/>
    <w:multiLevelType w:val="hybridMultilevel"/>
    <w:tmpl w:val="7EEA7F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F334DD"/>
    <w:multiLevelType w:val="hybridMultilevel"/>
    <w:tmpl w:val="87309FBC"/>
    <w:styleLink w:val="ImportedStyle4"/>
    <w:lvl w:ilvl="0" w:tplc="6E201BB2">
      <w:start w:val="1"/>
      <w:numFmt w:val="bullet"/>
      <w:lvlText w:val="•"/>
      <w:lvlJc w:val="left"/>
      <w:pPr>
        <w:ind w:left="142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7E2E7A">
      <w:start w:val="1"/>
      <w:numFmt w:val="bullet"/>
      <w:lvlText w:val="o"/>
      <w:lvlJc w:val="left"/>
      <w:pPr>
        <w:ind w:left="214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E1E2666">
      <w:start w:val="1"/>
      <w:numFmt w:val="bullet"/>
      <w:lvlText w:val="▪"/>
      <w:lvlJc w:val="left"/>
      <w:pPr>
        <w:ind w:left="286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C56C512">
      <w:start w:val="1"/>
      <w:numFmt w:val="bullet"/>
      <w:lvlText w:val="•"/>
      <w:lvlJc w:val="left"/>
      <w:pPr>
        <w:ind w:left="358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EECC148">
      <w:start w:val="1"/>
      <w:numFmt w:val="bullet"/>
      <w:lvlText w:val="o"/>
      <w:lvlJc w:val="left"/>
      <w:pPr>
        <w:ind w:left="430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E1EC608">
      <w:start w:val="1"/>
      <w:numFmt w:val="bullet"/>
      <w:lvlText w:val="▪"/>
      <w:lvlJc w:val="left"/>
      <w:pPr>
        <w:ind w:left="502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9623D4">
      <w:start w:val="1"/>
      <w:numFmt w:val="bullet"/>
      <w:lvlText w:val="•"/>
      <w:lvlJc w:val="left"/>
      <w:pPr>
        <w:ind w:left="574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072F1DA">
      <w:start w:val="1"/>
      <w:numFmt w:val="bullet"/>
      <w:lvlText w:val="o"/>
      <w:lvlJc w:val="left"/>
      <w:pPr>
        <w:ind w:left="646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B36FCA6">
      <w:start w:val="1"/>
      <w:numFmt w:val="bullet"/>
      <w:lvlText w:val="▪"/>
      <w:lvlJc w:val="left"/>
      <w:pPr>
        <w:ind w:left="718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732A59DA"/>
    <w:multiLevelType w:val="hybridMultilevel"/>
    <w:tmpl w:val="AD80B37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73C650FB"/>
    <w:multiLevelType w:val="multilevel"/>
    <w:tmpl w:val="F536BD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1527B8"/>
    <w:multiLevelType w:val="hybridMultilevel"/>
    <w:tmpl w:val="E68E6F36"/>
    <w:lvl w:ilvl="0" w:tplc="F74E2396">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32" w15:restartNumberingAfterBreak="0">
    <w:nsid w:val="7DCF4E8B"/>
    <w:multiLevelType w:val="hybridMultilevel"/>
    <w:tmpl w:val="FEE6464A"/>
    <w:styleLink w:val="ImportedStyle1"/>
    <w:lvl w:ilvl="0" w:tplc="D3F06038">
      <w:start w:val="1"/>
      <w:numFmt w:val="upperRoman"/>
      <w:lvlText w:val="%1."/>
      <w:lvlJc w:val="left"/>
      <w:pPr>
        <w:ind w:left="851" w:hanging="851"/>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80ED566">
      <w:start w:val="1"/>
      <w:numFmt w:val="lowerLetter"/>
      <w:lvlText w:val="%2."/>
      <w:lvlJc w:val="left"/>
      <w:pPr>
        <w:ind w:left="1211" w:hanging="491"/>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CA2E9F0">
      <w:start w:val="1"/>
      <w:numFmt w:val="lowerRoman"/>
      <w:lvlText w:val="%3."/>
      <w:lvlJc w:val="left"/>
      <w:pPr>
        <w:ind w:left="1931" w:hanging="405"/>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008AC4A">
      <w:start w:val="1"/>
      <w:numFmt w:val="decimal"/>
      <w:lvlText w:val="%4."/>
      <w:lvlJc w:val="left"/>
      <w:pPr>
        <w:ind w:left="2651" w:hanging="491"/>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108511E">
      <w:start w:val="1"/>
      <w:numFmt w:val="lowerLetter"/>
      <w:lvlText w:val="%5."/>
      <w:lvlJc w:val="left"/>
      <w:pPr>
        <w:ind w:left="3371" w:hanging="491"/>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1024210">
      <w:start w:val="1"/>
      <w:numFmt w:val="lowerRoman"/>
      <w:lvlText w:val="%6."/>
      <w:lvlJc w:val="left"/>
      <w:pPr>
        <w:ind w:left="4091" w:hanging="405"/>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536A784">
      <w:start w:val="1"/>
      <w:numFmt w:val="decimal"/>
      <w:lvlText w:val="%7."/>
      <w:lvlJc w:val="left"/>
      <w:pPr>
        <w:ind w:left="4811" w:hanging="491"/>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FEAD8DA">
      <w:start w:val="1"/>
      <w:numFmt w:val="lowerLetter"/>
      <w:lvlText w:val="%8."/>
      <w:lvlJc w:val="left"/>
      <w:pPr>
        <w:ind w:left="5531" w:hanging="491"/>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348C9E0">
      <w:start w:val="1"/>
      <w:numFmt w:val="lowerRoman"/>
      <w:lvlText w:val="%9."/>
      <w:lvlJc w:val="left"/>
      <w:pPr>
        <w:ind w:left="6251" w:hanging="405"/>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7E21140B"/>
    <w:multiLevelType w:val="hybridMultilevel"/>
    <w:tmpl w:val="232E0290"/>
    <w:lvl w:ilvl="0" w:tplc="EC8AF81A">
      <w:start w:val="1"/>
      <w:numFmt w:val="bullet"/>
      <w:lvlText w:val=""/>
      <w:lvlJc w:val="left"/>
      <w:pPr>
        <w:ind w:left="360" w:hanging="360"/>
      </w:pPr>
      <w:rPr>
        <w:rFonts w:ascii="Symbol" w:hAnsi="Symbol"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16C4166">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8FEBAC4">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028C7DE">
      <w:start w:val="1"/>
      <w:numFmt w:val="bullet"/>
      <w:lvlText w:val="•"/>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06AA8F8">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E188FEA">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7306CF6">
      <w:start w:val="1"/>
      <w:numFmt w:val="bullet"/>
      <w:lvlText w:val="•"/>
      <w:lvlJc w:val="left"/>
      <w:pPr>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47407E4">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FB4694E">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875340254">
    <w:abstractNumId w:val="32"/>
  </w:num>
  <w:num w:numId="2" w16cid:durableId="943079888">
    <w:abstractNumId w:val="9"/>
  </w:num>
  <w:num w:numId="3" w16cid:durableId="1748190628">
    <w:abstractNumId w:val="17"/>
  </w:num>
  <w:num w:numId="4" w16cid:durableId="1225094709">
    <w:abstractNumId w:val="6"/>
  </w:num>
  <w:num w:numId="5" w16cid:durableId="336662591">
    <w:abstractNumId w:val="3"/>
  </w:num>
  <w:num w:numId="6" w16cid:durableId="1280987564">
    <w:abstractNumId w:val="16"/>
  </w:num>
  <w:num w:numId="7" w16cid:durableId="1126504976">
    <w:abstractNumId w:val="6"/>
    <w:lvlOverride w:ilvl="0">
      <w:startOverride w:val="2"/>
    </w:lvlOverride>
  </w:num>
  <w:num w:numId="8" w16cid:durableId="1991328725">
    <w:abstractNumId w:val="28"/>
  </w:num>
  <w:num w:numId="9" w16cid:durableId="247538977">
    <w:abstractNumId w:val="12"/>
  </w:num>
  <w:num w:numId="10" w16cid:durableId="1436095343">
    <w:abstractNumId w:val="6"/>
    <w:lvlOverride w:ilvl="0">
      <w:startOverride w:val="3"/>
    </w:lvlOverride>
  </w:num>
  <w:num w:numId="11" w16cid:durableId="1318655368">
    <w:abstractNumId w:val="9"/>
    <w:lvlOverride w:ilvl="0">
      <w:startOverride w:val="2"/>
    </w:lvlOverride>
  </w:num>
  <w:num w:numId="12" w16cid:durableId="124395877">
    <w:abstractNumId w:val="23"/>
  </w:num>
  <w:num w:numId="13" w16cid:durableId="210771902">
    <w:abstractNumId w:val="33"/>
  </w:num>
  <w:num w:numId="14" w16cid:durableId="1932348408">
    <w:abstractNumId w:val="18"/>
  </w:num>
  <w:num w:numId="15" w16cid:durableId="735477062">
    <w:abstractNumId w:val="15"/>
  </w:num>
  <w:num w:numId="16" w16cid:durableId="742025686">
    <w:abstractNumId w:val="29"/>
  </w:num>
  <w:num w:numId="17" w16cid:durableId="988947982">
    <w:abstractNumId w:val="1"/>
  </w:num>
  <w:num w:numId="18" w16cid:durableId="436215467">
    <w:abstractNumId w:val="10"/>
  </w:num>
  <w:num w:numId="19" w16cid:durableId="1484277669">
    <w:abstractNumId w:val="30"/>
  </w:num>
  <w:num w:numId="20" w16cid:durableId="891503886">
    <w:abstractNumId w:val="7"/>
  </w:num>
  <w:num w:numId="21" w16cid:durableId="274755286">
    <w:abstractNumId w:val="26"/>
  </w:num>
  <w:num w:numId="22" w16cid:durableId="1104576148">
    <w:abstractNumId w:val="5"/>
  </w:num>
  <w:num w:numId="23" w16cid:durableId="751390537">
    <w:abstractNumId w:val="21"/>
  </w:num>
  <w:num w:numId="24" w16cid:durableId="1777627520">
    <w:abstractNumId w:val="25"/>
  </w:num>
  <w:num w:numId="25" w16cid:durableId="1529759955">
    <w:abstractNumId w:val="31"/>
  </w:num>
  <w:num w:numId="26" w16cid:durableId="18817612">
    <w:abstractNumId w:val="24"/>
  </w:num>
  <w:num w:numId="27" w16cid:durableId="350373002">
    <w:abstractNumId w:val="22"/>
  </w:num>
  <w:num w:numId="28" w16cid:durableId="2129230223">
    <w:abstractNumId w:val="13"/>
  </w:num>
  <w:num w:numId="29" w16cid:durableId="929198332">
    <w:abstractNumId w:val="4"/>
  </w:num>
  <w:num w:numId="30" w16cid:durableId="1267425780">
    <w:abstractNumId w:val="20"/>
  </w:num>
  <w:num w:numId="31" w16cid:durableId="1848054985">
    <w:abstractNumId w:val="14"/>
  </w:num>
  <w:num w:numId="32" w16cid:durableId="498930216">
    <w:abstractNumId w:val="19"/>
  </w:num>
  <w:num w:numId="33" w16cid:durableId="673186258">
    <w:abstractNumId w:val="11"/>
  </w:num>
  <w:num w:numId="34" w16cid:durableId="153693312">
    <w:abstractNumId w:val="27"/>
  </w:num>
  <w:num w:numId="35" w16cid:durableId="1715153547">
    <w:abstractNumId w:val="8"/>
  </w:num>
  <w:num w:numId="36" w16cid:durableId="119543308">
    <w:abstractNumId w:val="2"/>
  </w:num>
  <w:num w:numId="37" w16cid:durableId="46550690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2E7"/>
    <w:rsid w:val="00010880"/>
    <w:rsid w:val="000109E1"/>
    <w:rsid w:val="00016438"/>
    <w:rsid w:val="00021F57"/>
    <w:rsid w:val="000308A2"/>
    <w:rsid w:val="00046FB1"/>
    <w:rsid w:val="000549B5"/>
    <w:rsid w:val="000716FA"/>
    <w:rsid w:val="00092143"/>
    <w:rsid w:val="000949F4"/>
    <w:rsid w:val="00095EC9"/>
    <w:rsid w:val="000B48E4"/>
    <w:rsid w:val="000B5499"/>
    <w:rsid w:val="000B719F"/>
    <w:rsid w:val="000C112D"/>
    <w:rsid w:val="000C1CB1"/>
    <w:rsid w:val="000C3A2E"/>
    <w:rsid w:val="000D0817"/>
    <w:rsid w:val="000D1358"/>
    <w:rsid w:val="000E13A5"/>
    <w:rsid w:val="000E4B92"/>
    <w:rsid w:val="000E774C"/>
    <w:rsid w:val="000F3241"/>
    <w:rsid w:val="00104DA7"/>
    <w:rsid w:val="00113242"/>
    <w:rsid w:val="00123C79"/>
    <w:rsid w:val="001341FE"/>
    <w:rsid w:val="00141C22"/>
    <w:rsid w:val="00157B3A"/>
    <w:rsid w:val="0016185D"/>
    <w:rsid w:val="00167776"/>
    <w:rsid w:val="001705E7"/>
    <w:rsid w:val="00184A20"/>
    <w:rsid w:val="001932FA"/>
    <w:rsid w:val="001D3F01"/>
    <w:rsid w:val="00200025"/>
    <w:rsid w:val="00202F7C"/>
    <w:rsid w:val="00210D1B"/>
    <w:rsid w:val="002128CF"/>
    <w:rsid w:val="00214760"/>
    <w:rsid w:val="0024681A"/>
    <w:rsid w:val="002550E6"/>
    <w:rsid w:val="00257524"/>
    <w:rsid w:val="00265FCD"/>
    <w:rsid w:val="00276A30"/>
    <w:rsid w:val="00277032"/>
    <w:rsid w:val="00284310"/>
    <w:rsid w:val="00287FA0"/>
    <w:rsid w:val="00292666"/>
    <w:rsid w:val="00293387"/>
    <w:rsid w:val="002B0518"/>
    <w:rsid w:val="002B4114"/>
    <w:rsid w:val="002C3FE2"/>
    <w:rsid w:val="002C5069"/>
    <w:rsid w:val="002C583B"/>
    <w:rsid w:val="002D285D"/>
    <w:rsid w:val="002D7DEE"/>
    <w:rsid w:val="00300EFC"/>
    <w:rsid w:val="0030490A"/>
    <w:rsid w:val="0030586D"/>
    <w:rsid w:val="00305D36"/>
    <w:rsid w:val="00326D8D"/>
    <w:rsid w:val="003332E7"/>
    <w:rsid w:val="00335A32"/>
    <w:rsid w:val="00336B1B"/>
    <w:rsid w:val="003378C4"/>
    <w:rsid w:val="0034052C"/>
    <w:rsid w:val="00342A0A"/>
    <w:rsid w:val="00364060"/>
    <w:rsid w:val="00370CDD"/>
    <w:rsid w:val="00372521"/>
    <w:rsid w:val="0038719D"/>
    <w:rsid w:val="003A2A37"/>
    <w:rsid w:val="003A5748"/>
    <w:rsid w:val="003A7464"/>
    <w:rsid w:val="003B4261"/>
    <w:rsid w:val="003B5F27"/>
    <w:rsid w:val="003E2D8B"/>
    <w:rsid w:val="003E5AD5"/>
    <w:rsid w:val="003E697D"/>
    <w:rsid w:val="003F6344"/>
    <w:rsid w:val="0041098B"/>
    <w:rsid w:val="00411E0A"/>
    <w:rsid w:val="0041214F"/>
    <w:rsid w:val="00420B72"/>
    <w:rsid w:val="00422848"/>
    <w:rsid w:val="00423E2B"/>
    <w:rsid w:val="00454086"/>
    <w:rsid w:val="00454534"/>
    <w:rsid w:val="00455F7D"/>
    <w:rsid w:val="00471052"/>
    <w:rsid w:val="0049260D"/>
    <w:rsid w:val="00497C7D"/>
    <w:rsid w:val="004A00FF"/>
    <w:rsid w:val="004A4137"/>
    <w:rsid w:val="004B39B4"/>
    <w:rsid w:val="004E1612"/>
    <w:rsid w:val="004E4660"/>
    <w:rsid w:val="004F0790"/>
    <w:rsid w:val="004F105D"/>
    <w:rsid w:val="004F1A8F"/>
    <w:rsid w:val="004F4952"/>
    <w:rsid w:val="005031A9"/>
    <w:rsid w:val="00513A8B"/>
    <w:rsid w:val="00517536"/>
    <w:rsid w:val="005249AE"/>
    <w:rsid w:val="00551B1F"/>
    <w:rsid w:val="005823AC"/>
    <w:rsid w:val="005856CE"/>
    <w:rsid w:val="00585D26"/>
    <w:rsid w:val="00587C01"/>
    <w:rsid w:val="005A764B"/>
    <w:rsid w:val="005A7A7F"/>
    <w:rsid w:val="005B4356"/>
    <w:rsid w:val="005D0544"/>
    <w:rsid w:val="005F2334"/>
    <w:rsid w:val="005F3A42"/>
    <w:rsid w:val="00617EF7"/>
    <w:rsid w:val="006214E1"/>
    <w:rsid w:val="00627B72"/>
    <w:rsid w:val="00632305"/>
    <w:rsid w:val="00634E94"/>
    <w:rsid w:val="00635457"/>
    <w:rsid w:val="006400D7"/>
    <w:rsid w:val="00640551"/>
    <w:rsid w:val="00641518"/>
    <w:rsid w:val="0065640C"/>
    <w:rsid w:val="00665E32"/>
    <w:rsid w:val="0067557E"/>
    <w:rsid w:val="00683B96"/>
    <w:rsid w:val="00686B48"/>
    <w:rsid w:val="006973D7"/>
    <w:rsid w:val="006A57F9"/>
    <w:rsid w:val="006A5E07"/>
    <w:rsid w:val="006B00E9"/>
    <w:rsid w:val="006B029A"/>
    <w:rsid w:val="006B48C4"/>
    <w:rsid w:val="006B4ACF"/>
    <w:rsid w:val="006B4CDA"/>
    <w:rsid w:val="006C1BA9"/>
    <w:rsid w:val="006D464E"/>
    <w:rsid w:val="006F0384"/>
    <w:rsid w:val="006F2788"/>
    <w:rsid w:val="00701379"/>
    <w:rsid w:val="007053F0"/>
    <w:rsid w:val="00723358"/>
    <w:rsid w:val="0075750E"/>
    <w:rsid w:val="007577DB"/>
    <w:rsid w:val="00757821"/>
    <w:rsid w:val="00767E02"/>
    <w:rsid w:val="00773F09"/>
    <w:rsid w:val="00780B48"/>
    <w:rsid w:val="00783EF0"/>
    <w:rsid w:val="00790041"/>
    <w:rsid w:val="0079130E"/>
    <w:rsid w:val="00796E5C"/>
    <w:rsid w:val="007A6C51"/>
    <w:rsid w:val="007C04EC"/>
    <w:rsid w:val="007C6F3E"/>
    <w:rsid w:val="007E3755"/>
    <w:rsid w:val="008020F9"/>
    <w:rsid w:val="00803E23"/>
    <w:rsid w:val="008227C4"/>
    <w:rsid w:val="00831C2B"/>
    <w:rsid w:val="00841BF6"/>
    <w:rsid w:val="0084206B"/>
    <w:rsid w:val="00850C3E"/>
    <w:rsid w:val="008551A3"/>
    <w:rsid w:val="0085590F"/>
    <w:rsid w:val="00857366"/>
    <w:rsid w:val="008658B1"/>
    <w:rsid w:val="008979B8"/>
    <w:rsid w:val="008A1FA5"/>
    <w:rsid w:val="008B26CC"/>
    <w:rsid w:val="008C2C77"/>
    <w:rsid w:val="008C31A1"/>
    <w:rsid w:val="008C6F87"/>
    <w:rsid w:val="008D5486"/>
    <w:rsid w:val="008D654C"/>
    <w:rsid w:val="009128EC"/>
    <w:rsid w:val="009129D4"/>
    <w:rsid w:val="00913312"/>
    <w:rsid w:val="0091401A"/>
    <w:rsid w:val="00925C79"/>
    <w:rsid w:val="00940CE3"/>
    <w:rsid w:val="00942394"/>
    <w:rsid w:val="0094675C"/>
    <w:rsid w:val="00951495"/>
    <w:rsid w:val="0095548D"/>
    <w:rsid w:val="00967B61"/>
    <w:rsid w:val="0098485A"/>
    <w:rsid w:val="009959CB"/>
    <w:rsid w:val="00997B61"/>
    <w:rsid w:val="009A03EE"/>
    <w:rsid w:val="009A4879"/>
    <w:rsid w:val="009B49AB"/>
    <w:rsid w:val="009B54EA"/>
    <w:rsid w:val="009C3105"/>
    <w:rsid w:val="009C4CD5"/>
    <w:rsid w:val="009E6137"/>
    <w:rsid w:val="00A03BBF"/>
    <w:rsid w:val="00A05507"/>
    <w:rsid w:val="00A103CF"/>
    <w:rsid w:val="00A3510B"/>
    <w:rsid w:val="00A63747"/>
    <w:rsid w:val="00A64655"/>
    <w:rsid w:val="00A65389"/>
    <w:rsid w:val="00A7283F"/>
    <w:rsid w:val="00A92B32"/>
    <w:rsid w:val="00A93F12"/>
    <w:rsid w:val="00AA54BB"/>
    <w:rsid w:val="00AA7DBD"/>
    <w:rsid w:val="00AA7FF8"/>
    <w:rsid w:val="00AB6309"/>
    <w:rsid w:val="00AB75CB"/>
    <w:rsid w:val="00AE275D"/>
    <w:rsid w:val="00AE3895"/>
    <w:rsid w:val="00AF6B8F"/>
    <w:rsid w:val="00B037BE"/>
    <w:rsid w:val="00B12609"/>
    <w:rsid w:val="00B160FA"/>
    <w:rsid w:val="00B30C43"/>
    <w:rsid w:val="00B40CFD"/>
    <w:rsid w:val="00B44409"/>
    <w:rsid w:val="00B5330E"/>
    <w:rsid w:val="00B557E5"/>
    <w:rsid w:val="00B637A2"/>
    <w:rsid w:val="00B8375F"/>
    <w:rsid w:val="00B87F53"/>
    <w:rsid w:val="00B92A13"/>
    <w:rsid w:val="00B92D33"/>
    <w:rsid w:val="00BA0354"/>
    <w:rsid w:val="00BA2B7B"/>
    <w:rsid w:val="00BA7562"/>
    <w:rsid w:val="00BA77CE"/>
    <w:rsid w:val="00BB25D9"/>
    <w:rsid w:val="00BB25FF"/>
    <w:rsid w:val="00BB3F96"/>
    <w:rsid w:val="00BB7D04"/>
    <w:rsid w:val="00BC6BCA"/>
    <w:rsid w:val="00BE7295"/>
    <w:rsid w:val="00BE7AFD"/>
    <w:rsid w:val="00BF60EE"/>
    <w:rsid w:val="00C03C70"/>
    <w:rsid w:val="00C041BB"/>
    <w:rsid w:val="00C06D8F"/>
    <w:rsid w:val="00C073D8"/>
    <w:rsid w:val="00C202E3"/>
    <w:rsid w:val="00C35502"/>
    <w:rsid w:val="00C43055"/>
    <w:rsid w:val="00C610A7"/>
    <w:rsid w:val="00C62D8B"/>
    <w:rsid w:val="00C64699"/>
    <w:rsid w:val="00C72C60"/>
    <w:rsid w:val="00C73E2C"/>
    <w:rsid w:val="00C75D49"/>
    <w:rsid w:val="00C8525A"/>
    <w:rsid w:val="00CA011F"/>
    <w:rsid w:val="00CB285E"/>
    <w:rsid w:val="00CB2A2E"/>
    <w:rsid w:val="00CC0F33"/>
    <w:rsid w:val="00CC2588"/>
    <w:rsid w:val="00CD60D6"/>
    <w:rsid w:val="00CD7253"/>
    <w:rsid w:val="00CE2E62"/>
    <w:rsid w:val="00CE31E3"/>
    <w:rsid w:val="00CE7A61"/>
    <w:rsid w:val="00CF1A4C"/>
    <w:rsid w:val="00D33C17"/>
    <w:rsid w:val="00D44C48"/>
    <w:rsid w:val="00D50E6C"/>
    <w:rsid w:val="00D62546"/>
    <w:rsid w:val="00D660E7"/>
    <w:rsid w:val="00D671CE"/>
    <w:rsid w:val="00D7185B"/>
    <w:rsid w:val="00D93AC8"/>
    <w:rsid w:val="00D97574"/>
    <w:rsid w:val="00DA00E0"/>
    <w:rsid w:val="00DB335E"/>
    <w:rsid w:val="00DB7AB2"/>
    <w:rsid w:val="00DC01E7"/>
    <w:rsid w:val="00DC149E"/>
    <w:rsid w:val="00DC2B41"/>
    <w:rsid w:val="00DD0F9F"/>
    <w:rsid w:val="00DD4ED0"/>
    <w:rsid w:val="00DD5E5D"/>
    <w:rsid w:val="00DD6362"/>
    <w:rsid w:val="00DE6068"/>
    <w:rsid w:val="00DF7158"/>
    <w:rsid w:val="00E020F5"/>
    <w:rsid w:val="00E02BB8"/>
    <w:rsid w:val="00E142C2"/>
    <w:rsid w:val="00E2547E"/>
    <w:rsid w:val="00E25D96"/>
    <w:rsid w:val="00E26D3B"/>
    <w:rsid w:val="00E311B8"/>
    <w:rsid w:val="00E33FC3"/>
    <w:rsid w:val="00E43F14"/>
    <w:rsid w:val="00E47519"/>
    <w:rsid w:val="00E553C9"/>
    <w:rsid w:val="00E56727"/>
    <w:rsid w:val="00E6183D"/>
    <w:rsid w:val="00E72F74"/>
    <w:rsid w:val="00E77FE1"/>
    <w:rsid w:val="00E837B0"/>
    <w:rsid w:val="00E839D8"/>
    <w:rsid w:val="00EA1649"/>
    <w:rsid w:val="00EA5A88"/>
    <w:rsid w:val="00F17137"/>
    <w:rsid w:val="00F20151"/>
    <w:rsid w:val="00F267C2"/>
    <w:rsid w:val="00F460C2"/>
    <w:rsid w:val="00F602E0"/>
    <w:rsid w:val="00F616EE"/>
    <w:rsid w:val="00F83BBB"/>
    <w:rsid w:val="00F87067"/>
    <w:rsid w:val="00F87D9D"/>
    <w:rsid w:val="00F932F8"/>
    <w:rsid w:val="00FA44CB"/>
    <w:rsid w:val="00FA4D86"/>
    <w:rsid w:val="00FD627F"/>
  </w:rsids>
  <m:mathPr>
    <m:mathFont m:val="Cambria Math"/>
    <m:brkBin m:val="before"/>
    <m:brkBinSub m:val="--"/>
    <m:smallFrac m:val="0"/>
    <m:dispDef/>
    <m:lMargin m:val="0"/>
    <m:rMargin m:val="0"/>
    <m:defJc m:val="centerGroup"/>
    <m:wrapIndent m:val="1440"/>
    <m:intLim m:val="subSup"/>
    <m:naryLim m:val="undOvr"/>
  </m:mathPr>
  <w:themeFontLang w:val="et-E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FF0B9"/>
  <w15:docId w15:val="{E1E10531-965F-9347-9B5C-2EC74FFC5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t-EE" w:eastAsia="et-E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after="160" w:line="254" w:lineRule="auto"/>
    </w:pPr>
    <w:rPr>
      <w:rFonts w:ascii="Calibri" w:eastAsia="Calibri" w:hAnsi="Calibri" w:cs="Calibri"/>
      <w:color w:val="000000"/>
      <w:sz w:val="22"/>
      <w:szCs w:val="2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w:hAnsi="Helvetica" w:cs="Arial Unicode MS"/>
      <w:color w:val="000000"/>
      <w:sz w:val="24"/>
      <w:szCs w:val="24"/>
    </w:rPr>
  </w:style>
  <w:style w:type="character" w:customStyle="1" w:styleId="NoneA">
    <w:name w:val="None A"/>
  </w:style>
  <w:style w:type="character" w:customStyle="1" w:styleId="Hyperlink0">
    <w:name w:val="Hyperlink.0"/>
    <w:basedOn w:val="NoneA"/>
    <w:rPr>
      <w:color w:val="0000FF"/>
      <w:u w:val="single" w:color="0000FF"/>
      <w:lang w:val="en-US"/>
    </w:rPr>
  </w:style>
  <w:style w:type="paragraph" w:styleId="Header">
    <w:name w:val="header"/>
    <w:link w:val="HeaderChar"/>
    <w:uiPriority w:val="99"/>
    <w:pPr>
      <w:tabs>
        <w:tab w:val="center" w:pos="4703"/>
        <w:tab w:val="right" w:pos="9406"/>
      </w:tabs>
      <w:suppressAutoHyphens/>
      <w:spacing w:after="160" w:line="254" w:lineRule="auto"/>
    </w:pPr>
    <w:rPr>
      <w:rFonts w:eastAsia="Times New Roman"/>
      <w:color w:val="000000"/>
      <w:sz w:val="24"/>
      <w:szCs w:val="24"/>
      <w:u w:color="000000"/>
      <w:lang w:val="en-US"/>
    </w:rPr>
  </w:style>
  <w:style w:type="paragraph" w:styleId="PlainText">
    <w:name w:val="Plain Text"/>
    <w:pPr>
      <w:suppressAutoHyphens/>
      <w:spacing w:after="160" w:line="254" w:lineRule="auto"/>
    </w:pPr>
    <w:rPr>
      <w:rFonts w:ascii="Calibri" w:eastAsia="Calibri" w:hAnsi="Calibri" w:cs="Calibri"/>
      <w:color w:val="000000"/>
      <w:sz w:val="22"/>
      <w:szCs w:val="22"/>
      <w:u w:color="000000"/>
    </w:rPr>
  </w:style>
  <w:style w:type="paragraph" w:customStyle="1" w:styleId="Default">
    <w:name w:val="Default"/>
    <w:pPr>
      <w:suppressAutoHyphens/>
      <w:spacing w:after="160" w:line="254" w:lineRule="auto"/>
    </w:pPr>
    <w:rPr>
      <w:rFonts w:ascii="Calibri" w:eastAsia="Calibri" w:hAnsi="Calibri" w:cs="Calibri"/>
      <w:color w:val="000000"/>
      <w:sz w:val="24"/>
      <w:szCs w:val="24"/>
      <w:u w:color="000000"/>
    </w:rPr>
  </w:style>
  <w:style w:type="paragraph" w:styleId="ListParagraph">
    <w:name w:val="List Paragraph"/>
    <w:link w:val="ListParagraphChar"/>
    <w:uiPriority w:val="34"/>
    <w:qFormat/>
    <w:pPr>
      <w:suppressAutoHyphens/>
      <w:spacing w:after="160" w:line="254" w:lineRule="auto"/>
      <w:ind w:left="720"/>
    </w:pPr>
    <w:rPr>
      <w:rFonts w:ascii="Calibri" w:eastAsia="Calibri" w:hAnsi="Calibri" w:cs="Calibri"/>
      <w:color w:val="000000"/>
      <w:sz w:val="22"/>
      <w:szCs w:val="22"/>
      <w:u w:color="000000"/>
      <w:lang w:val="en-US"/>
    </w:rPr>
  </w:style>
  <w:style w:type="paragraph" w:customStyle="1" w:styleId="CommentText1">
    <w:name w:val="Comment Text1"/>
    <w:pPr>
      <w:suppressAutoHyphens/>
      <w:spacing w:after="160" w:line="254" w:lineRule="auto"/>
    </w:pPr>
    <w:rPr>
      <w:rFonts w:cs="Arial Unicode MS"/>
      <w:color w:val="000000"/>
      <w:u w:color="000000"/>
    </w:rPr>
  </w:style>
  <w:style w:type="paragraph" w:styleId="Footer">
    <w:name w:val="footer"/>
    <w:basedOn w:val="Normal"/>
    <w:link w:val="FooterChar"/>
    <w:uiPriority w:val="99"/>
    <w:unhideWhenUsed/>
    <w:rsid w:val="005D0544"/>
    <w:pPr>
      <w:tabs>
        <w:tab w:val="center" w:pos="4536"/>
        <w:tab w:val="right" w:pos="9072"/>
      </w:tabs>
      <w:spacing w:after="0" w:line="240" w:lineRule="auto"/>
    </w:pPr>
  </w:style>
  <w:style w:type="character" w:customStyle="1" w:styleId="FooterChar">
    <w:name w:val="Footer Char"/>
    <w:basedOn w:val="DefaultParagraphFont"/>
    <w:link w:val="Footer"/>
    <w:uiPriority w:val="99"/>
    <w:rsid w:val="005D0544"/>
    <w:rPr>
      <w:rFonts w:ascii="Calibri" w:eastAsia="Calibri" w:hAnsi="Calibri" w:cs="Calibri"/>
      <w:color w:val="000000"/>
      <w:sz w:val="22"/>
      <w:szCs w:val="22"/>
      <w:u w:color="000000"/>
    </w:rPr>
  </w:style>
  <w:style w:type="paragraph" w:styleId="NoSpacing">
    <w:name w:val="No Spacing"/>
    <w:rsid w:val="00016438"/>
    <w:rPr>
      <w:rFonts w:ascii="Calibri" w:eastAsia="Calibri" w:hAnsi="Calibri" w:cs="Calibri"/>
      <w:color w:val="000000"/>
      <w:sz w:val="22"/>
      <w:szCs w:val="22"/>
      <w:u w:color="000000"/>
      <w:lang w:val="en-US" w:eastAsia="en-US"/>
    </w:rPr>
  </w:style>
  <w:style w:type="numbering" w:customStyle="1" w:styleId="ImportedStyle1">
    <w:name w:val="Imported Style 1"/>
    <w:rsid w:val="00016438"/>
    <w:pPr>
      <w:numPr>
        <w:numId w:val="1"/>
      </w:numPr>
    </w:pPr>
  </w:style>
  <w:style w:type="paragraph" w:styleId="FootnoteText">
    <w:name w:val="footnote text"/>
    <w:link w:val="FootnoteTextChar"/>
    <w:uiPriority w:val="99"/>
    <w:rsid w:val="00016438"/>
    <w:rPr>
      <w:rFonts w:ascii="Calibri" w:eastAsia="Calibri" w:hAnsi="Calibri" w:cs="Calibri"/>
      <w:color w:val="000000"/>
      <w:u w:color="000000"/>
      <w:lang w:val="en-US" w:eastAsia="en-US"/>
    </w:rPr>
  </w:style>
  <w:style w:type="character" w:customStyle="1" w:styleId="FootnoteTextChar">
    <w:name w:val="Footnote Text Char"/>
    <w:basedOn w:val="DefaultParagraphFont"/>
    <w:link w:val="FootnoteText"/>
    <w:uiPriority w:val="99"/>
    <w:rsid w:val="00016438"/>
    <w:rPr>
      <w:rFonts w:ascii="Calibri" w:eastAsia="Calibri" w:hAnsi="Calibri" w:cs="Calibri"/>
      <w:color w:val="000000"/>
      <w:u w:color="000000"/>
      <w:lang w:val="en-US" w:eastAsia="en-US"/>
    </w:rPr>
  </w:style>
  <w:style w:type="numbering" w:customStyle="1" w:styleId="ImportedStyle2">
    <w:name w:val="Imported Style 2"/>
    <w:rsid w:val="00016438"/>
    <w:pPr>
      <w:numPr>
        <w:numId w:val="3"/>
      </w:numPr>
    </w:pPr>
  </w:style>
  <w:style w:type="numbering" w:customStyle="1" w:styleId="ImportedStyle3">
    <w:name w:val="Imported Style 3"/>
    <w:rsid w:val="00016438"/>
    <w:pPr>
      <w:numPr>
        <w:numId w:val="5"/>
      </w:numPr>
    </w:pPr>
  </w:style>
  <w:style w:type="numbering" w:customStyle="1" w:styleId="ImportedStyle4">
    <w:name w:val="Imported Style 4"/>
    <w:rsid w:val="00016438"/>
    <w:pPr>
      <w:numPr>
        <w:numId w:val="8"/>
      </w:numPr>
    </w:pPr>
  </w:style>
  <w:style w:type="paragraph" w:customStyle="1" w:styleId="Body">
    <w:name w:val="Body"/>
    <w:rsid w:val="00016438"/>
    <w:pPr>
      <w:spacing w:after="200" w:line="276" w:lineRule="auto"/>
    </w:pPr>
    <w:rPr>
      <w:rFonts w:ascii="Calibri" w:eastAsia="Calibri" w:hAnsi="Calibri" w:cs="Calibri"/>
      <w:color w:val="000000"/>
      <w:sz w:val="22"/>
      <w:szCs w:val="22"/>
      <w:u w:color="000000"/>
      <w:lang w:val="en-US" w:eastAsia="en-US"/>
    </w:rPr>
  </w:style>
  <w:style w:type="paragraph" w:styleId="BalloonText">
    <w:name w:val="Balloon Text"/>
    <w:basedOn w:val="Normal"/>
    <w:link w:val="BalloonTextChar"/>
    <w:uiPriority w:val="99"/>
    <w:semiHidden/>
    <w:unhideWhenUsed/>
    <w:rsid w:val="008C2C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2C77"/>
    <w:rPr>
      <w:rFonts w:ascii="Tahoma" w:eastAsia="Calibri" w:hAnsi="Tahoma" w:cs="Tahoma"/>
      <w:color w:val="000000"/>
      <w:sz w:val="16"/>
      <w:szCs w:val="16"/>
      <w:u w:color="000000"/>
    </w:rPr>
  </w:style>
  <w:style w:type="table" w:customStyle="1" w:styleId="TableNormal2">
    <w:name w:val="Table Normal2"/>
    <w:rsid w:val="00A05507"/>
    <w:tblPr>
      <w:tblInd w:w="0" w:type="dxa"/>
      <w:tblCellMar>
        <w:top w:w="0" w:type="dxa"/>
        <w:left w:w="0" w:type="dxa"/>
        <w:bottom w:w="0" w:type="dxa"/>
        <w:right w:w="0" w:type="dxa"/>
      </w:tblCellMar>
    </w:tblPr>
  </w:style>
  <w:style w:type="character" w:styleId="FootnoteReference">
    <w:name w:val="footnote reference"/>
    <w:basedOn w:val="DefaultParagraphFont"/>
    <w:uiPriority w:val="99"/>
    <w:unhideWhenUsed/>
    <w:rsid w:val="00CD7253"/>
    <w:rPr>
      <w:vertAlign w:val="superscript"/>
    </w:rPr>
  </w:style>
  <w:style w:type="character" w:styleId="CommentReference">
    <w:name w:val="annotation reference"/>
    <w:basedOn w:val="DefaultParagraphFont"/>
    <w:uiPriority w:val="99"/>
    <w:semiHidden/>
    <w:unhideWhenUsed/>
    <w:rsid w:val="007A6C51"/>
    <w:rPr>
      <w:sz w:val="16"/>
      <w:szCs w:val="16"/>
    </w:rPr>
  </w:style>
  <w:style w:type="paragraph" w:styleId="CommentText">
    <w:name w:val="annotation text"/>
    <w:basedOn w:val="Normal"/>
    <w:link w:val="CommentTextChar"/>
    <w:uiPriority w:val="99"/>
    <w:semiHidden/>
    <w:unhideWhenUsed/>
    <w:rsid w:val="007A6C51"/>
    <w:pPr>
      <w:spacing w:line="240" w:lineRule="auto"/>
    </w:pPr>
    <w:rPr>
      <w:sz w:val="20"/>
      <w:szCs w:val="20"/>
    </w:rPr>
  </w:style>
  <w:style w:type="character" w:customStyle="1" w:styleId="CommentTextChar">
    <w:name w:val="Comment Text Char"/>
    <w:basedOn w:val="DefaultParagraphFont"/>
    <w:link w:val="CommentText"/>
    <w:uiPriority w:val="99"/>
    <w:semiHidden/>
    <w:rsid w:val="007A6C51"/>
    <w:rPr>
      <w:rFonts w:ascii="Calibri" w:eastAsia="Calibri" w:hAnsi="Calibri" w:cs="Calibri"/>
      <w:color w:val="000000"/>
      <w:u w:color="000000"/>
    </w:rPr>
  </w:style>
  <w:style w:type="paragraph" w:styleId="CommentSubject">
    <w:name w:val="annotation subject"/>
    <w:basedOn w:val="CommentText"/>
    <w:next w:val="CommentText"/>
    <w:link w:val="CommentSubjectChar"/>
    <w:uiPriority w:val="99"/>
    <w:semiHidden/>
    <w:unhideWhenUsed/>
    <w:rsid w:val="007A6C51"/>
    <w:rPr>
      <w:b/>
      <w:bCs/>
    </w:rPr>
  </w:style>
  <w:style w:type="character" w:customStyle="1" w:styleId="CommentSubjectChar">
    <w:name w:val="Comment Subject Char"/>
    <w:basedOn w:val="CommentTextChar"/>
    <w:link w:val="CommentSubject"/>
    <w:uiPriority w:val="99"/>
    <w:semiHidden/>
    <w:rsid w:val="007A6C51"/>
    <w:rPr>
      <w:rFonts w:ascii="Calibri" w:eastAsia="Calibri" w:hAnsi="Calibri" w:cs="Calibri"/>
      <w:b/>
      <w:bCs/>
      <w:color w:val="000000"/>
      <w:u w:color="000000"/>
    </w:rPr>
  </w:style>
  <w:style w:type="character" w:customStyle="1" w:styleId="UnresolvedMention1">
    <w:name w:val="Unresolved Mention1"/>
    <w:basedOn w:val="DefaultParagraphFont"/>
    <w:uiPriority w:val="99"/>
    <w:semiHidden/>
    <w:unhideWhenUsed/>
    <w:rsid w:val="00E839D8"/>
    <w:rPr>
      <w:color w:val="605E5C"/>
      <w:shd w:val="clear" w:color="auto" w:fill="E1DFDD"/>
    </w:rPr>
  </w:style>
  <w:style w:type="character" w:styleId="UnresolvedMention">
    <w:name w:val="Unresolved Mention"/>
    <w:basedOn w:val="DefaultParagraphFont"/>
    <w:uiPriority w:val="99"/>
    <w:semiHidden/>
    <w:unhideWhenUsed/>
    <w:rsid w:val="00850C3E"/>
    <w:rPr>
      <w:color w:val="605E5C"/>
      <w:shd w:val="clear" w:color="auto" w:fill="E1DFDD"/>
    </w:rPr>
  </w:style>
  <w:style w:type="table" w:styleId="TableGrid">
    <w:name w:val="Table Grid"/>
    <w:basedOn w:val="TableNormal"/>
    <w:uiPriority w:val="39"/>
    <w:rsid w:val="00F17137"/>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0B48E4"/>
    <w:rPr>
      <w:rFonts w:ascii="Calibri" w:eastAsia="Calibri" w:hAnsi="Calibri" w:cs="Calibri"/>
      <w:color w:val="000000"/>
      <w:sz w:val="22"/>
      <w:szCs w:val="22"/>
      <w:u w:color="000000"/>
      <w:lang w:val="en-US"/>
    </w:rPr>
  </w:style>
  <w:style w:type="paragraph" w:styleId="NormalWeb">
    <w:name w:val="Normal (Web)"/>
    <w:basedOn w:val="Normal"/>
    <w:uiPriority w:val="99"/>
    <w:unhideWhenUsed/>
    <w:rsid w:val="009A03EE"/>
    <w:p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before="100" w:beforeAutospacing="1" w:after="100" w:afterAutospacing="1" w:line="240" w:lineRule="auto"/>
    </w:pPr>
    <w:rPr>
      <w:rFonts w:ascii="Times New Roman" w:eastAsia="Times New Roman" w:hAnsi="Times New Roman" w:cs="Times New Roman"/>
      <w:color w:val="auto"/>
      <w:sz w:val="24"/>
      <w:szCs w:val="24"/>
      <w:bdr w:val="none" w:sz="0" w:space="0" w:color="auto"/>
      <w:lang w:val="en-EE" w:eastAsia="en-GB"/>
    </w:rPr>
  </w:style>
  <w:style w:type="character" w:customStyle="1" w:styleId="apple-converted-space">
    <w:name w:val="apple-converted-space"/>
    <w:basedOn w:val="DefaultParagraphFont"/>
    <w:rsid w:val="009A03EE"/>
  </w:style>
  <w:style w:type="character" w:styleId="Strong">
    <w:name w:val="Strong"/>
    <w:basedOn w:val="DefaultParagraphFont"/>
    <w:uiPriority w:val="22"/>
    <w:qFormat/>
    <w:rsid w:val="009A03EE"/>
    <w:rPr>
      <w:b/>
      <w:bCs/>
    </w:rPr>
  </w:style>
  <w:style w:type="character" w:customStyle="1" w:styleId="HeaderChar">
    <w:name w:val="Header Char"/>
    <w:basedOn w:val="DefaultParagraphFont"/>
    <w:link w:val="Header"/>
    <w:uiPriority w:val="99"/>
    <w:rsid w:val="00951495"/>
    <w:rPr>
      <w:rFonts w:eastAsia="Times New Roman"/>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3761171">
      <w:bodyDiv w:val="1"/>
      <w:marLeft w:val="0"/>
      <w:marRight w:val="0"/>
      <w:marTop w:val="0"/>
      <w:marBottom w:val="0"/>
      <w:divBdr>
        <w:top w:val="none" w:sz="0" w:space="0" w:color="auto"/>
        <w:left w:val="none" w:sz="0" w:space="0" w:color="auto"/>
        <w:bottom w:val="none" w:sz="0" w:space="0" w:color="auto"/>
        <w:right w:val="none" w:sz="0" w:space="0" w:color="auto"/>
      </w:divBdr>
      <w:divsChild>
        <w:div w:id="1283146316">
          <w:marLeft w:val="720"/>
          <w:marRight w:val="0"/>
          <w:marTop w:val="0"/>
          <w:marBottom w:val="0"/>
          <w:divBdr>
            <w:top w:val="none" w:sz="0" w:space="0" w:color="auto"/>
            <w:left w:val="none" w:sz="0" w:space="0" w:color="auto"/>
            <w:bottom w:val="none" w:sz="0" w:space="0" w:color="auto"/>
            <w:right w:val="none" w:sz="0" w:space="0" w:color="auto"/>
          </w:divBdr>
        </w:div>
      </w:divsChild>
    </w:div>
    <w:div w:id="271404922">
      <w:bodyDiv w:val="1"/>
      <w:marLeft w:val="0"/>
      <w:marRight w:val="0"/>
      <w:marTop w:val="0"/>
      <w:marBottom w:val="0"/>
      <w:divBdr>
        <w:top w:val="none" w:sz="0" w:space="0" w:color="auto"/>
        <w:left w:val="none" w:sz="0" w:space="0" w:color="auto"/>
        <w:bottom w:val="none" w:sz="0" w:space="0" w:color="auto"/>
        <w:right w:val="none" w:sz="0" w:space="0" w:color="auto"/>
      </w:divBdr>
    </w:div>
    <w:div w:id="318190106">
      <w:bodyDiv w:val="1"/>
      <w:marLeft w:val="0"/>
      <w:marRight w:val="0"/>
      <w:marTop w:val="0"/>
      <w:marBottom w:val="0"/>
      <w:divBdr>
        <w:top w:val="none" w:sz="0" w:space="0" w:color="auto"/>
        <w:left w:val="none" w:sz="0" w:space="0" w:color="auto"/>
        <w:bottom w:val="none" w:sz="0" w:space="0" w:color="auto"/>
        <w:right w:val="none" w:sz="0" w:space="0" w:color="auto"/>
      </w:divBdr>
    </w:div>
    <w:div w:id="355544464">
      <w:bodyDiv w:val="1"/>
      <w:marLeft w:val="0"/>
      <w:marRight w:val="0"/>
      <w:marTop w:val="0"/>
      <w:marBottom w:val="0"/>
      <w:divBdr>
        <w:top w:val="none" w:sz="0" w:space="0" w:color="auto"/>
        <w:left w:val="none" w:sz="0" w:space="0" w:color="auto"/>
        <w:bottom w:val="none" w:sz="0" w:space="0" w:color="auto"/>
        <w:right w:val="none" w:sz="0" w:space="0" w:color="auto"/>
      </w:divBdr>
    </w:div>
    <w:div w:id="358748746">
      <w:bodyDiv w:val="1"/>
      <w:marLeft w:val="0"/>
      <w:marRight w:val="0"/>
      <w:marTop w:val="0"/>
      <w:marBottom w:val="0"/>
      <w:divBdr>
        <w:top w:val="none" w:sz="0" w:space="0" w:color="auto"/>
        <w:left w:val="none" w:sz="0" w:space="0" w:color="auto"/>
        <w:bottom w:val="none" w:sz="0" w:space="0" w:color="auto"/>
        <w:right w:val="none" w:sz="0" w:space="0" w:color="auto"/>
      </w:divBdr>
    </w:div>
    <w:div w:id="727386358">
      <w:bodyDiv w:val="1"/>
      <w:marLeft w:val="0"/>
      <w:marRight w:val="0"/>
      <w:marTop w:val="0"/>
      <w:marBottom w:val="0"/>
      <w:divBdr>
        <w:top w:val="none" w:sz="0" w:space="0" w:color="auto"/>
        <w:left w:val="none" w:sz="0" w:space="0" w:color="auto"/>
        <w:bottom w:val="none" w:sz="0" w:space="0" w:color="auto"/>
        <w:right w:val="none" w:sz="0" w:space="0" w:color="auto"/>
      </w:divBdr>
    </w:div>
    <w:div w:id="807892839">
      <w:bodyDiv w:val="1"/>
      <w:marLeft w:val="0"/>
      <w:marRight w:val="0"/>
      <w:marTop w:val="0"/>
      <w:marBottom w:val="0"/>
      <w:divBdr>
        <w:top w:val="none" w:sz="0" w:space="0" w:color="auto"/>
        <w:left w:val="none" w:sz="0" w:space="0" w:color="auto"/>
        <w:bottom w:val="none" w:sz="0" w:space="0" w:color="auto"/>
        <w:right w:val="none" w:sz="0" w:space="0" w:color="auto"/>
      </w:divBdr>
    </w:div>
    <w:div w:id="1179276169">
      <w:bodyDiv w:val="1"/>
      <w:marLeft w:val="0"/>
      <w:marRight w:val="0"/>
      <w:marTop w:val="0"/>
      <w:marBottom w:val="0"/>
      <w:divBdr>
        <w:top w:val="none" w:sz="0" w:space="0" w:color="auto"/>
        <w:left w:val="none" w:sz="0" w:space="0" w:color="auto"/>
        <w:bottom w:val="none" w:sz="0" w:space="0" w:color="auto"/>
        <w:right w:val="none" w:sz="0" w:space="0" w:color="auto"/>
      </w:divBdr>
    </w:div>
    <w:div w:id="1870793556">
      <w:bodyDiv w:val="1"/>
      <w:marLeft w:val="0"/>
      <w:marRight w:val="0"/>
      <w:marTop w:val="0"/>
      <w:marBottom w:val="0"/>
      <w:divBdr>
        <w:top w:val="none" w:sz="0" w:space="0" w:color="auto"/>
        <w:left w:val="none" w:sz="0" w:space="0" w:color="auto"/>
        <w:bottom w:val="none" w:sz="0" w:space="0" w:color="auto"/>
        <w:right w:val="none" w:sz="0" w:space="0" w:color="auto"/>
      </w:divBdr>
    </w:div>
    <w:div w:id="19282306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rtl.e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nfo@rtl.e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D1B1FC-5A25-4949-A6CB-21F728868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1071</Words>
  <Characters>6110</Characters>
  <Application>Microsoft Office Word</Application>
  <DocSecurity>0</DocSecurity>
  <Lines>50</Lines>
  <Paragraphs>14</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F. Hoffmann-La Roche, Ltd.</Company>
  <LinksUpToDate>false</LinksUpToDate>
  <CharactersWithSpaces>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Piret Ehavald</dc:creator>
  <cp:lastModifiedBy>Riho Tapfer</cp:lastModifiedBy>
  <cp:revision>2</cp:revision>
  <cp:lastPrinted>2017-03-06T10:39:00Z</cp:lastPrinted>
  <dcterms:created xsi:type="dcterms:W3CDTF">2026-10-23T09:06:00Z</dcterms:created>
  <dcterms:modified xsi:type="dcterms:W3CDTF">2026-10-23T09:06:00Z</dcterms:modified>
</cp:coreProperties>
</file>